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096" w:rsidRPr="00124398" w:rsidRDefault="00316096" w:rsidP="00BA2ACC">
      <w:pPr>
        <w:spacing w:after="0" w:line="20" w:lineRule="atLeast"/>
        <w:jc w:val="right"/>
        <w:rPr>
          <w:rFonts w:cstheme="minorHAnsi"/>
          <w:b/>
          <w:bCs/>
          <w:color w:val="000000"/>
          <w:sz w:val="24"/>
          <w:szCs w:val="24"/>
          <w:lang w:val="en-IN" w:bidi="hi-IN"/>
        </w:rPr>
      </w:pPr>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8"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d) TRAINING: Agency appointed by the Bank will provide user manu</w:t>
      </w:r>
      <w:bookmarkStart w:id="0" w:name="_GoBack"/>
      <w:bookmarkEnd w:id="0"/>
      <w:r>
        <w:t xml:space="preserve">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F16DA5" w:rsidP="006156D4">
            <w:pPr>
              <w:spacing w:line="20" w:lineRule="atLeast"/>
              <w:jc w:val="both"/>
            </w:pPr>
            <w:hyperlink r:id="rId9"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w:t>
            </w:r>
            <w:proofErr w:type="spellStart"/>
            <w:r>
              <w:t>Sujith</w:t>
            </w:r>
            <w:proofErr w:type="spellEnd"/>
            <w:r>
              <w:t xml:space="preserve"> Nair: 079 68136857 </w:t>
            </w:r>
            <w:hyperlink r:id="rId10"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w:t>
            </w:r>
            <w:proofErr w:type="spellStart"/>
            <w:r w:rsidRPr="003746EE">
              <w:t>Sujith</w:t>
            </w:r>
            <w:proofErr w:type="spellEnd"/>
            <w:r w:rsidRPr="003746EE">
              <w:t xml:space="preserve"> Nair: 079 68136857 </w:t>
            </w:r>
            <w:r>
              <w:t xml:space="preserve"> sujith@eptl.in</w:t>
            </w:r>
          </w:p>
          <w:p w:rsidR="003746EE" w:rsidRDefault="003746EE" w:rsidP="006156D4">
            <w:pPr>
              <w:spacing w:line="20" w:lineRule="atLeast"/>
              <w:jc w:val="both"/>
            </w:pPr>
            <w:r>
              <w:t xml:space="preserve">Ms. </w:t>
            </w:r>
            <w:proofErr w:type="spellStart"/>
            <w:r>
              <w:t>Geeta</w:t>
            </w:r>
            <w:proofErr w:type="spellEnd"/>
            <w:r>
              <w:t xml:space="preserve"> : 079 90334460</w:t>
            </w:r>
          </w:p>
          <w:p w:rsidR="003746EE" w:rsidRDefault="003746EE" w:rsidP="006156D4">
            <w:pPr>
              <w:spacing w:line="20" w:lineRule="atLeast"/>
              <w:jc w:val="both"/>
            </w:pPr>
            <w:r>
              <w:t xml:space="preserve">                     </w:t>
            </w:r>
            <w:hyperlink r:id="rId11" w:history="1">
              <w:r>
                <w:rPr>
                  <w:rStyle w:val="Hyperlink"/>
                </w:rPr>
                <w:t>geeta@auctiontiger.net</w:t>
              </w:r>
            </w:hyperlink>
          </w:p>
          <w:p w:rsidR="003746EE" w:rsidRDefault="003746EE" w:rsidP="006156D4">
            <w:pPr>
              <w:spacing w:line="20" w:lineRule="atLeast"/>
              <w:jc w:val="both"/>
            </w:pPr>
            <w:r>
              <w:t xml:space="preserve">Ms. </w:t>
            </w:r>
            <w:proofErr w:type="spellStart"/>
            <w:r>
              <w:t>Khushboo</w:t>
            </w:r>
            <w:proofErr w:type="spellEnd"/>
            <w:r>
              <w:t>: 09510813528</w:t>
            </w:r>
          </w:p>
          <w:p w:rsidR="003746EE" w:rsidRDefault="003746EE" w:rsidP="006156D4">
            <w:pPr>
              <w:spacing w:line="20" w:lineRule="atLeast"/>
              <w:jc w:val="both"/>
            </w:pPr>
            <w:r>
              <w:t xml:space="preserve">                            </w:t>
            </w:r>
            <w:hyperlink r:id="rId12" w:history="1">
              <w:r>
                <w:rPr>
                  <w:rStyle w:val="Hyperlink"/>
                </w:rPr>
                <w:t>khushboo.mehta@epti.in</w:t>
              </w:r>
            </w:hyperlink>
          </w:p>
          <w:p w:rsidR="00EC6A82" w:rsidRDefault="00EC6A82" w:rsidP="006156D4">
            <w:pPr>
              <w:spacing w:line="20" w:lineRule="atLeast"/>
              <w:jc w:val="both"/>
            </w:pPr>
            <w:r>
              <w:t xml:space="preserve">Ms. </w:t>
            </w:r>
            <w:proofErr w:type="spellStart"/>
            <w:r>
              <w:t>Pooja</w:t>
            </w:r>
            <w:proofErr w:type="spellEnd"/>
            <w:r>
              <w:t xml:space="preserve"> : 09328931942 </w:t>
            </w:r>
            <w:proofErr w:type="spellStart"/>
            <w:r>
              <w:t>pooja</w:t>
            </w:r>
            <w:proofErr w:type="spellEnd"/>
            <w:r>
              <w:t xml:space="preserve"> </w:t>
            </w:r>
            <w:hyperlink r:id="rId13" w:history="1">
              <w:r>
                <w:rPr>
                  <w:rStyle w:val="Hyperlink"/>
                </w:rPr>
                <w:t>shah@eptl.in</w:t>
              </w:r>
            </w:hyperlink>
          </w:p>
          <w:p w:rsidR="003746EE" w:rsidRDefault="004739BE" w:rsidP="006156D4">
            <w:pPr>
              <w:spacing w:line="20" w:lineRule="atLeast"/>
              <w:jc w:val="both"/>
            </w:pPr>
            <w:r>
              <w:t xml:space="preserve">Ms. </w:t>
            </w:r>
            <w:proofErr w:type="spellStart"/>
            <w:r>
              <w:t>Komal</w:t>
            </w:r>
            <w:proofErr w:type="spellEnd"/>
            <w:r>
              <w:t xml:space="preserve"> 07904407997 </w:t>
            </w:r>
            <w:hyperlink r:id="rId14" w:history="1">
              <w:r>
                <w:rPr>
                  <w:rStyle w:val="Hyperlink"/>
                </w:rPr>
                <w:t>komal.d@epti.in</w:t>
              </w:r>
            </w:hyperlink>
          </w:p>
          <w:p w:rsidR="003746EE" w:rsidRDefault="004739BE" w:rsidP="006156D4">
            <w:pPr>
              <w:spacing w:line="20" w:lineRule="atLeast"/>
              <w:jc w:val="both"/>
            </w:pPr>
            <w:proofErr w:type="spellStart"/>
            <w:r>
              <w:t>Mr</w:t>
            </w:r>
            <w:proofErr w:type="spellEnd"/>
            <w:r>
              <w:t xml:space="preserve"> </w:t>
            </w:r>
            <w:proofErr w:type="spellStart"/>
            <w:r>
              <w:t>Nandan</w:t>
            </w:r>
            <w:proofErr w:type="spellEnd"/>
            <w:r>
              <w:t xml:space="preserve"> Valera: 9081000427 </w:t>
            </w:r>
            <w:hyperlink r:id="rId15" w:history="1">
              <w:r>
                <w:rPr>
                  <w:rStyle w:val="Hyperlink"/>
                </w:rPr>
                <w:t>nandan.v@eptl.in</w:t>
              </w:r>
            </w:hyperlink>
          </w:p>
          <w:p w:rsidR="003746EE" w:rsidRDefault="004739BE" w:rsidP="006156D4">
            <w:pPr>
              <w:spacing w:line="20" w:lineRule="atLeast"/>
              <w:jc w:val="both"/>
            </w:pPr>
            <w:proofErr w:type="spellStart"/>
            <w:r>
              <w:t>Ms</w:t>
            </w:r>
            <w:proofErr w:type="spellEnd"/>
            <w:r>
              <w:t xml:space="preserve"> </w:t>
            </w:r>
            <w:proofErr w:type="spellStart"/>
            <w:r>
              <w:t>Vrusha</w:t>
            </w:r>
            <w:proofErr w:type="spellEnd"/>
            <w:r>
              <w:t xml:space="preserve"> </w:t>
            </w:r>
            <w:proofErr w:type="spellStart"/>
            <w:r>
              <w:t>Soni</w:t>
            </w:r>
            <w:proofErr w:type="spellEnd"/>
            <w:r>
              <w:t xml:space="preserve">: 9904407997 </w:t>
            </w:r>
            <w:hyperlink r:id="rId16"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CE277C" w:rsidP="006156D4">
      <w:pPr>
        <w:pStyle w:val="ListParagraph"/>
        <w:numPr>
          <w:ilvl w:val="0"/>
          <w:numId w:val="21"/>
        </w:numPr>
        <w:spacing w:after="0" w:line="20" w:lineRule="atLeast"/>
        <w:jc w:val="both"/>
      </w:pPr>
      <w:r>
        <w:t>Bank has decided to determine L</w:t>
      </w:r>
      <w:r w:rsidR="00205284">
        <w:t xml:space="preserve">1 through bids submitted on Bank's E-Tendering website </w:t>
      </w:r>
      <w:hyperlink r:id="rId17" w:history="1">
        <w:r w:rsidR="00205284">
          <w:rPr>
            <w:rStyle w:val="Hyperlink"/>
          </w:rPr>
          <w:t>https://centralbank.abcprocure.com/EPROC</w:t>
        </w:r>
      </w:hyperlink>
      <w:r w:rsidR="00205284">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8"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19"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To operate on the Electronic Tendering System, the Bidder are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0"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w:t>
      </w:r>
      <w:r w:rsidR="00CE277C">
        <w:rPr>
          <w:rFonts w:cstheme="minorHAnsi"/>
        </w:rPr>
        <w:t>ission of Tender with digitally</w:t>
      </w:r>
      <w:r w:rsidRPr="006B3645">
        <w:rPr>
          <w:rFonts w:cstheme="minorHAnsi"/>
        </w:rPr>
        <w:t xml:space="preserve"> signed Bid Hashes (Seals) within the Tender Time Schedule (Key dates) published in the Detailed Notice Inviting Tender. The Bid Data is to be pre</w:t>
      </w:r>
      <w:r w:rsidR="00CE277C">
        <w:rPr>
          <w:rFonts w:cstheme="minorHAnsi"/>
        </w:rPr>
        <w:t>pared in the templates provided</w:t>
      </w:r>
      <w:r w:rsidRPr="006B3645">
        <w:rPr>
          <w:rFonts w:cstheme="minorHAnsi"/>
        </w:rPr>
        <w:t xml:space="preserve"> by the Tendering Authority of CBI. The templates may be </w:t>
      </w:r>
      <w:r w:rsidR="00CE277C" w:rsidRPr="006B3645">
        <w:rPr>
          <w:rFonts w:cstheme="minorHAnsi"/>
        </w:rPr>
        <w:t>form</w:t>
      </w:r>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965F27"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w:t>
      </w:r>
    </w:p>
    <w:p w:rsidR="002D4636" w:rsidRDefault="000812BD" w:rsidP="006156D4">
      <w:pPr>
        <w:pStyle w:val="ListParagraph"/>
        <w:numPr>
          <w:ilvl w:val="0"/>
          <w:numId w:val="22"/>
        </w:numPr>
        <w:spacing w:after="0" w:line="20" w:lineRule="atLeast"/>
        <w:jc w:val="both"/>
        <w:rPr>
          <w:rFonts w:cstheme="minorHAnsi"/>
        </w:rPr>
      </w:pPr>
      <w:r w:rsidRPr="002D4636">
        <w:rPr>
          <w:rFonts w:cstheme="minorHAnsi"/>
        </w:rPr>
        <w:t>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F16DA5" w:rsidP="006156D4">
      <w:pPr>
        <w:spacing w:after="0" w:line="20" w:lineRule="atLeast"/>
        <w:jc w:val="both"/>
        <w:rPr>
          <w:rFonts w:cstheme="minorHAnsi"/>
        </w:rPr>
      </w:pPr>
      <w:hyperlink r:id="rId21" w:history="1">
        <w:r w:rsidR="000812BD" w:rsidRPr="002D4636">
          <w:rPr>
            <w:rStyle w:val="Hyperlink"/>
            <w:rFonts w:cstheme="minorHAnsi"/>
          </w:rPr>
          <w:t>https://centralbank</w:t>
        </w:r>
      </w:hyperlink>
      <w:r w:rsidR="000812BD" w:rsidRPr="002D4636">
        <w:rPr>
          <w:rFonts w:cstheme="minorHAnsi"/>
        </w:rPr>
        <w:t xml:space="preserve"> </w:t>
      </w:r>
      <w:hyperlink r:id="rId22"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submitting all the documents bidders need to click on "Final Submission" tab.</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3"/>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A5" w:rsidRDefault="00F16DA5">
      <w:pPr>
        <w:spacing w:after="0" w:line="240" w:lineRule="auto"/>
      </w:pPr>
      <w:r>
        <w:separator/>
      </w:r>
    </w:p>
  </w:endnote>
  <w:endnote w:type="continuationSeparator" w:id="0">
    <w:p w:rsidR="00F16DA5" w:rsidRDefault="00F1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A5" w:rsidRDefault="00F16DA5">
      <w:pPr>
        <w:spacing w:after="0" w:line="240" w:lineRule="auto"/>
      </w:pPr>
      <w:r>
        <w:separator/>
      </w:r>
    </w:p>
  </w:footnote>
  <w:footnote w:type="continuationSeparator" w:id="0">
    <w:p w:rsidR="00F16DA5" w:rsidRDefault="00F16D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B98"/>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0AEF"/>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95C6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DA5"/>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A9672F-2795-41E1-968A-F31FC75E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albank.abcprocure.com/EPROC/" TargetMode="External"/><Relationship Id="rId13" Type="http://schemas.openxmlformats.org/officeDocument/2006/relationships/hyperlink" Target="mailto:shah@eptl.in" TargetMode="External"/><Relationship Id="rId18" Type="http://schemas.openxmlformats.org/officeDocument/2006/relationships/hyperlink" Target="https://centralbank.abcprocure.com" TargetMode="External"/><Relationship Id="rId3" Type="http://schemas.openxmlformats.org/officeDocument/2006/relationships/styles" Target="styles.xml"/><Relationship Id="rId21" Type="http://schemas.openxmlformats.org/officeDocument/2006/relationships/hyperlink" Target="https://centralbank" TargetMode="External"/><Relationship Id="rId7" Type="http://schemas.openxmlformats.org/officeDocument/2006/relationships/endnotes" Target="endnotes.xml"/><Relationship Id="rId12" Type="http://schemas.openxmlformats.org/officeDocument/2006/relationships/hyperlink" Target="mailto:khushboo.mehta@epti.in" TargetMode="External"/><Relationship Id="rId17" Type="http://schemas.openxmlformats.org/officeDocument/2006/relationships/hyperlink" Target="https://centralbank.abcprocure.com/EPR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vrusha@eptl.in" TargetMode="External"/><Relationship Id="rId20" Type="http://schemas.openxmlformats.org/officeDocument/2006/relationships/hyperlink" Target="https://centralbank.abeprocure.com/FPR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eta@auctiontiger.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andan.v@eptl.in" TargetMode="External"/><Relationship Id="rId23" Type="http://schemas.openxmlformats.org/officeDocument/2006/relationships/header" Target="header1.xml"/><Relationship Id="rId10" Type="http://schemas.openxmlformats.org/officeDocument/2006/relationships/hyperlink" Target="mailto:sujith@eptl.in" TargetMode="External"/><Relationship Id="rId19" Type="http://schemas.openxmlformats.org/officeDocument/2006/relationships/hyperlink" Target="https://centralbank.abcprocure.com/EPROC" TargetMode="External"/><Relationship Id="rId4" Type="http://schemas.openxmlformats.org/officeDocument/2006/relationships/settings" Target="settings.xml"/><Relationship Id="rId9" Type="http://schemas.openxmlformats.org/officeDocument/2006/relationships/hyperlink" Target="https://centralbank.abcprocure.com/EPROC" TargetMode="External"/><Relationship Id="rId14" Type="http://schemas.openxmlformats.org/officeDocument/2006/relationships/hyperlink" Target="mailto:komal.d@epti.in" TargetMode="External"/><Relationship Id="rId22" Type="http://schemas.openxmlformats.org/officeDocument/2006/relationships/hyperlink" Target="http://abe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A5D02-D795-47A7-B1FF-3F2D077D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SHIVAM KUMAR</cp:lastModifiedBy>
  <cp:revision>2</cp:revision>
  <cp:lastPrinted>2023-03-17T05:50:00Z</cp:lastPrinted>
  <dcterms:created xsi:type="dcterms:W3CDTF">2025-05-21T10:08:00Z</dcterms:created>
  <dcterms:modified xsi:type="dcterms:W3CDTF">2025-05-21T10:08:00Z</dcterms:modified>
</cp:coreProperties>
</file>