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7E7" w:rsidRPr="0043008D" w:rsidRDefault="001467E7" w:rsidP="001467E7">
      <w:pPr>
        <w:pStyle w:val="Default"/>
        <w:jc w:val="center"/>
        <w:rPr>
          <w:rFonts w:ascii="Times New Roman" w:hAnsi="Times New Roman" w:cs="Times New Roman"/>
          <w:sz w:val="22"/>
          <w:szCs w:val="22"/>
        </w:rPr>
      </w:pPr>
      <w:r w:rsidRPr="0043008D">
        <w:rPr>
          <w:rFonts w:ascii="Times New Roman" w:hAnsi="Times New Roman" w:cs="Times New Roman"/>
          <w:b/>
          <w:bCs/>
          <w:sz w:val="22"/>
          <w:szCs w:val="22"/>
        </w:rPr>
        <w:t>INTEGRITY PACT</w:t>
      </w:r>
      <w:bookmarkStart w:id="0" w:name="_GoBack"/>
      <w:bookmarkEnd w:id="0"/>
    </w:p>
    <w:p w:rsidR="001467E7" w:rsidRPr="0043008D" w:rsidRDefault="001467E7" w:rsidP="001467E7">
      <w:pPr>
        <w:pStyle w:val="Default"/>
        <w:jc w:val="center"/>
        <w:rPr>
          <w:rFonts w:ascii="Times New Roman" w:hAnsi="Times New Roman" w:cs="Times New Roman"/>
          <w:sz w:val="22"/>
          <w:szCs w:val="22"/>
        </w:rPr>
      </w:pPr>
      <w:r w:rsidRPr="0043008D">
        <w:rPr>
          <w:rFonts w:ascii="Times New Roman" w:hAnsi="Times New Roman" w:cs="Times New Roman"/>
          <w:sz w:val="22"/>
          <w:szCs w:val="22"/>
        </w:rPr>
        <w:t>Between</w:t>
      </w:r>
    </w:p>
    <w:p w:rsidR="001467E7" w:rsidRPr="0043008D" w:rsidRDefault="001467E7" w:rsidP="001467E7">
      <w:pPr>
        <w:pStyle w:val="Default"/>
        <w:jc w:val="center"/>
        <w:rPr>
          <w:rFonts w:ascii="Times New Roman" w:hAnsi="Times New Roman" w:cs="Times New Roman"/>
          <w:sz w:val="22"/>
          <w:szCs w:val="22"/>
        </w:rPr>
      </w:pPr>
      <w:r w:rsidRPr="0043008D">
        <w:rPr>
          <w:rFonts w:ascii="Times New Roman" w:hAnsi="Times New Roman" w:cs="Times New Roman"/>
          <w:b/>
          <w:bCs/>
          <w:sz w:val="22"/>
          <w:szCs w:val="22"/>
        </w:rPr>
        <w:t xml:space="preserve">Central Bank of India </w:t>
      </w:r>
      <w:r w:rsidRPr="0043008D">
        <w:rPr>
          <w:rFonts w:ascii="Times New Roman" w:hAnsi="Times New Roman" w:cs="Times New Roman"/>
          <w:sz w:val="22"/>
          <w:szCs w:val="22"/>
        </w:rPr>
        <w:t xml:space="preserve">hereinafter referred to as </w:t>
      </w:r>
      <w:r w:rsidRPr="0043008D">
        <w:rPr>
          <w:rFonts w:ascii="Times New Roman" w:hAnsi="Times New Roman" w:cs="Times New Roman"/>
          <w:b/>
          <w:bCs/>
          <w:sz w:val="22"/>
          <w:szCs w:val="22"/>
        </w:rPr>
        <w:t>“The Principal”</w:t>
      </w:r>
      <w:r w:rsidRPr="0043008D">
        <w:rPr>
          <w:rFonts w:ascii="Times New Roman" w:hAnsi="Times New Roman" w:cs="Times New Roman"/>
          <w:sz w:val="22"/>
          <w:szCs w:val="22"/>
        </w:rPr>
        <w:t>,</w:t>
      </w:r>
    </w:p>
    <w:p w:rsidR="001467E7" w:rsidRPr="0043008D" w:rsidRDefault="001467E7" w:rsidP="001467E7">
      <w:pPr>
        <w:pStyle w:val="Default"/>
        <w:jc w:val="center"/>
        <w:rPr>
          <w:rFonts w:ascii="Times New Roman" w:hAnsi="Times New Roman" w:cs="Times New Roman"/>
          <w:sz w:val="22"/>
          <w:szCs w:val="22"/>
        </w:rPr>
      </w:pPr>
      <w:r w:rsidRPr="0043008D">
        <w:rPr>
          <w:rFonts w:ascii="Times New Roman" w:hAnsi="Times New Roman" w:cs="Times New Roman"/>
          <w:sz w:val="22"/>
          <w:szCs w:val="22"/>
        </w:rPr>
        <w:t>And</w:t>
      </w:r>
    </w:p>
    <w:p w:rsidR="001467E7" w:rsidRPr="0043008D" w:rsidRDefault="001467E7" w:rsidP="001467E7">
      <w:pPr>
        <w:pStyle w:val="Default"/>
        <w:jc w:val="center"/>
        <w:rPr>
          <w:rFonts w:ascii="Times New Roman" w:hAnsi="Times New Roman" w:cs="Times New Roman"/>
          <w:sz w:val="22"/>
          <w:szCs w:val="22"/>
        </w:rPr>
      </w:pPr>
      <w:r w:rsidRPr="0043008D">
        <w:rPr>
          <w:rFonts w:ascii="Times New Roman" w:hAnsi="Times New Roman" w:cs="Times New Roman"/>
          <w:sz w:val="22"/>
          <w:szCs w:val="22"/>
        </w:rPr>
        <w:t xml:space="preserve">…………………………………………… hereinafter referred to as </w:t>
      </w:r>
      <w:r w:rsidRPr="0043008D">
        <w:rPr>
          <w:rFonts w:ascii="Times New Roman" w:hAnsi="Times New Roman" w:cs="Times New Roman"/>
          <w:b/>
          <w:bCs/>
          <w:sz w:val="22"/>
          <w:szCs w:val="22"/>
        </w:rPr>
        <w:t>“The Bidder/ Contractor”</w:t>
      </w:r>
    </w:p>
    <w:p w:rsidR="001467E7" w:rsidRPr="0043008D" w:rsidRDefault="001467E7" w:rsidP="001467E7">
      <w:pPr>
        <w:pStyle w:val="Default"/>
        <w:jc w:val="center"/>
        <w:rPr>
          <w:rFonts w:ascii="Times New Roman" w:hAnsi="Times New Roman" w:cs="Times New Roman"/>
          <w:sz w:val="22"/>
          <w:szCs w:val="22"/>
        </w:rPr>
      </w:pPr>
      <w:r w:rsidRPr="0043008D">
        <w:rPr>
          <w:rFonts w:ascii="Times New Roman" w:hAnsi="Times New Roman" w:cs="Times New Roman"/>
          <w:b/>
          <w:bCs/>
          <w:sz w:val="22"/>
          <w:szCs w:val="22"/>
        </w:rPr>
        <w:t>Preamble</w:t>
      </w: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The Principal intends to award, under laid down organizational procedures, contract/s for………………………………………The Principal values full compliance with all relevant laws of the land, rules, regulations, economic use of resources and of fairness / transparency in its relations with its Bidder(s) and / or Contractor(s). </w:t>
      </w: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In order to achieve these goals, the Principal will appoint an Independent External Monitor (IEM), who will monitor the tender process and the execution of the contract for compliance with the principles mentioned above. </w:t>
      </w: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b/>
          <w:bCs/>
          <w:sz w:val="22"/>
          <w:szCs w:val="22"/>
        </w:rPr>
        <w:t xml:space="preserve">Section 1 – Commitments of the Principal </w:t>
      </w: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(1.) The Principal commits itself to take all measures necessary to prevent corruption and to observe the following principles:- </w:t>
      </w: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a. No employee of the Principal, personally or through family members, will in connection with the tender for , or the execution of a contract, demand, take a promise for or accept, for self or third person, any material or immaterial benefit which the person is not legally entitled to.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b. 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c. The Principal will exclude from the process all known prejudiced persons.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(2) 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b/>
          <w:bCs/>
          <w:sz w:val="22"/>
          <w:szCs w:val="22"/>
        </w:rPr>
      </w:pPr>
      <w:r w:rsidRPr="0043008D">
        <w:rPr>
          <w:rFonts w:ascii="Times New Roman" w:hAnsi="Times New Roman" w:cs="Times New Roman"/>
          <w:b/>
          <w:bCs/>
          <w:sz w:val="22"/>
          <w:szCs w:val="22"/>
        </w:rPr>
        <w:t xml:space="preserve">Section 2 – Commitments of the Bidder(s)/ contractor(s)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(1) The Bidder(s)/ Contractor(s) commit themselves to take all measures necessary to prevent corruption. He commits himself to observe the following principles during his participation in the tender process and during the contract execution.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a. 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w:t>
      </w:r>
      <w:r w:rsidRPr="0043008D">
        <w:rPr>
          <w:rFonts w:ascii="Times New Roman" w:hAnsi="Times New Roman" w:cs="Times New Roman"/>
          <w:i/>
          <w:iCs/>
          <w:sz w:val="22"/>
          <w:szCs w:val="22"/>
        </w:rPr>
        <w:t xml:space="preserve">y </w:t>
      </w:r>
      <w:r w:rsidRPr="0043008D">
        <w:rPr>
          <w:rFonts w:ascii="Times New Roman" w:hAnsi="Times New Roman" w:cs="Times New Roman"/>
          <w:sz w:val="22"/>
          <w:szCs w:val="22"/>
        </w:rPr>
        <w:t xml:space="preserve">advantage of any kind whatsoever during the tender process or during the execution of the contract.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b. 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cartelisation in the bidding process. </w:t>
      </w: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lastRenderedPageBreak/>
        <w:t xml:space="preserve">c. 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d. The Bidder(s)/Contractors(s) of foreign origin shall disclose the name and address of the Agents/representatives in India, if any. Similarly the Bidder(s)/Contractors(s) of Indian Nationality shall furnish the name and address of the foreign principals, if any. Further details as mentioned in the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“Guidelines on Indian Agents of Foreign Suppli</w:t>
      </w:r>
      <w:r w:rsidR="00C24967">
        <w:rPr>
          <w:rFonts w:ascii="Times New Roman" w:hAnsi="Times New Roman" w:cs="Times New Roman"/>
          <w:sz w:val="22"/>
          <w:szCs w:val="22"/>
        </w:rPr>
        <w:t xml:space="preserve">ers” shall be disclosed by the </w:t>
      </w:r>
      <w:r w:rsidRPr="0043008D">
        <w:rPr>
          <w:rFonts w:ascii="Times New Roman" w:hAnsi="Times New Roman" w:cs="Times New Roman"/>
          <w:sz w:val="22"/>
          <w:szCs w:val="22"/>
        </w:rPr>
        <w:t>Bidder</w:t>
      </w:r>
      <w:r>
        <w:rPr>
          <w:rFonts w:ascii="Times New Roman" w:hAnsi="Times New Roman" w:cs="Times New Roman"/>
          <w:sz w:val="22"/>
          <w:szCs w:val="22"/>
        </w:rPr>
        <w:t xml:space="preserve"> </w:t>
      </w:r>
      <w:r w:rsidRPr="0043008D">
        <w:rPr>
          <w:rFonts w:ascii="Times New Roman" w:hAnsi="Times New Roman" w:cs="Times New Roman"/>
          <w:sz w:val="22"/>
          <w:szCs w:val="22"/>
        </w:rPr>
        <w:t xml:space="preserve">(s)/Contractor(s).Further, as mentioned in the Guidelines all the  payments made to the Indian agent/representative have to be in Indian  Rupees only. The Bidder(s)/ Contractor(s) will, when presenting his bid, disclose any and all payments he has made, is committed to or intends to make to agents, brokers or any other intermediaries in connection with the award of the contract.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(2) The Bidder(s)/ Contractor(s) will not instigate third persons to commit offences outlined above or be an accessory to such offences.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b/>
          <w:bCs/>
          <w:sz w:val="22"/>
          <w:szCs w:val="22"/>
        </w:rPr>
        <w:t xml:space="preserve">Section 3- Disqualification from tender process and exclusion from future contracts </w:t>
      </w: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b/>
          <w:bCs/>
          <w:sz w:val="22"/>
          <w:szCs w:val="22"/>
        </w:rPr>
      </w:pPr>
      <w:r w:rsidRPr="0043008D">
        <w:rPr>
          <w:rFonts w:ascii="Times New Roman" w:hAnsi="Times New Roman" w:cs="Times New Roman"/>
          <w:b/>
          <w:bCs/>
          <w:sz w:val="22"/>
          <w:szCs w:val="22"/>
        </w:rPr>
        <w:t xml:space="preserve">Section 4 – Compensation for Damages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(1) If the Principal has disqualified the Bidder(s) from the tender process prior to the award according to Section 3, the Principal is entitled to demand and recover the damages equivalent to Earnest Money Deposit/ Bid Security.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(2) 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b/>
          <w:bCs/>
          <w:sz w:val="22"/>
          <w:szCs w:val="22"/>
        </w:rPr>
        <w:t xml:space="preserve">Section 5 – Previous transgression </w:t>
      </w: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(1) The Bidder declares that no previous transgressions occurred in the last three years with any other Bank in any country conforming to the anti-corruption approach or with any Public Sector Enterprise in India that could justify his exclusion from the tender process.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(2) If the Bidder makes incorrect statement on this subject, he can be disqualified from the tender process or action can be taken as per the procedure mentioned in “Guidelines on Banning of business dealings”. </w:t>
      </w: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b/>
          <w:bCs/>
          <w:sz w:val="22"/>
          <w:szCs w:val="22"/>
        </w:rPr>
        <w:t xml:space="preserve">Section 6 – Equal treatment of all Bidders / Contractors / Subcontractors </w:t>
      </w: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lastRenderedPageBreak/>
        <w:t xml:space="preserve">(1) The Bidder(s)/ Contractor(s) undertake(s) to demand from his subcontractors a commitment in conformity with this Integrity Pact.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(2) The Principal will enter into agreements with identical conditions as this one with all Bidders and Contractors.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(3) The Principal will disqualify from the tender process all bidders who do not sign this Pact or violate its provisions.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b/>
          <w:bCs/>
          <w:sz w:val="22"/>
          <w:szCs w:val="22"/>
        </w:rPr>
      </w:pPr>
      <w:r w:rsidRPr="0043008D">
        <w:rPr>
          <w:rFonts w:ascii="Times New Roman" w:hAnsi="Times New Roman" w:cs="Times New Roman"/>
          <w:b/>
          <w:bCs/>
          <w:sz w:val="22"/>
          <w:szCs w:val="22"/>
        </w:rPr>
        <w:t xml:space="preserve">Section 7 – Criminal charges against violating Bidder(s) / Contractor(s) / Subcontractor(s)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If the Principal obtains knowledge of conduct of a Bidder, Contractor or Subcontractor, or of an employee or a representative or an associate of a Bidder, Contractor or Subcontractor which constitutes corruption, or if the Principal has substantive suspicion in this regard, the Principal will inform the same to the Chief Vigilance Officer. </w:t>
      </w: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b/>
          <w:bCs/>
          <w:sz w:val="22"/>
          <w:szCs w:val="22"/>
        </w:rPr>
        <w:t xml:space="preserve">Section 8 – Independent External Monitor / Monitors </w:t>
      </w: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(1) The Principal appoints competent and credible Independent External Monitor for this Pact. The task of the Monitor is to review independently and objectively, whether and to what extent the parties comply with the obligations under this agreement.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(2) The Monitor is not subject to instructions by the representatives of the parties and performs his functions neutrally and independently. It will be obligatory for him to treat the information and documents of the Bidders/Contractors as confidential. He reports to the Chairman &amp; Managing Director, CENTRAL BANK OF INDIA. </w:t>
      </w:r>
    </w:p>
    <w:p w:rsidR="001467E7" w:rsidRPr="0043008D" w:rsidRDefault="001467E7" w:rsidP="001467E7">
      <w:pPr>
        <w:pStyle w:val="Default"/>
        <w:jc w:val="both"/>
        <w:rPr>
          <w:rFonts w:ascii="Times New Roman" w:hAnsi="Times New Roman" w:cs="Times New Roman"/>
          <w:sz w:val="22"/>
          <w:szCs w:val="22"/>
        </w:rPr>
      </w:pPr>
    </w:p>
    <w:p w:rsidR="004E5828" w:rsidRPr="0043008D" w:rsidRDefault="001467E7" w:rsidP="004E5828">
      <w:pPr>
        <w:pStyle w:val="Default"/>
        <w:jc w:val="both"/>
        <w:rPr>
          <w:rFonts w:ascii="Times New Roman" w:hAnsi="Times New Roman" w:cs="Times New Roman"/>
          <w:sz w:val="22"/>
          <w:szCs w:val="22"/>
        </w:rPr>
      </w:pPr>
      <w:r w:rsidRPr="0043008D">
        <w:rPr>
          <w:rFonts w:ascii="Times New Roman" w:hAnsi="Times New Roman" w:cs="Times New Roman"/>
          <w:sz w:val="22"/>
          <w:szCs w:val="22"/>
        </w:rPr>
        <w:t>(3) The Bidder(s)/Contractor(s) accepts that the Monitor has the right to access without restriction to all Project documentation of the Principal including that provided by the Contractor</w:t>
      </w:r>
      <w:r w:rsidRPr="0043008D">
        <w:rPr>
          <w:rFonts w:ascii="Times New Roman" w:hAnsi="Times New Roman" w:cs="Times New Roman"/>
          <w:i/>
          <w:iCs/>
          <w:sz w:val="22"/>
          <w:szCs w:val="22"/>
        </w:rPr>
        <w:t xml:space="preserve">. </w:t>
      </w:r>
      <w:r w:rsidRPr="0043008D">
        <w:rPr>
          <w:rFonts w:ascii="Times New Roman" w:hAnsi="Times New Roman" w:cs="Times New Roman"/>
          <w:sz w:val="22"/>
          <w:szCs w:val="22"/>
        </w:rPr>
        <w:t xml:space="preserve">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Subcontractor(s) with confidentiality. </w:t>
      </w:r>
      <w:r w:rsidR="004E5828" w:rsidRPr="0043008D">
        <w:rPr>
          <w:rFonts w:ascii="Times New Roman" w:hAnsi="Times New Roman" w:cs="Times New Roman"/>
          <w:sz w:val="22"/>
          <w:szCs w:val="22"/>
        </w:rPr>
        <w:t xml:space="preserve">. </w:t>
      </w:r>
      <w:r w:rsidR="004E5828">
        <w:rPr>
          <w:rFonts w:ascii="Times New Roman" w:hAnsi="Times New Roman" w:cs="Times New Roman"/>
          <w:sz w:val="22"/>
          <w:szCs w:val="22"/>
        </w:rPr>
        <w:t xml:space="preserve">In case of sub-contracting, the Principal Contractor shall take the responsibility of the adoption of the Integrity Pact by the sub-contractor.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(4) 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 </w:t>
      </w:r>
    </w:p>
    <w:p w:rsidR="001467E7" w:rsidRPr="0043008D" w:rsidRDefault="001467E7" w:rsidP="001467E7">
      <w:pPr>
        <w:pStyle w:val="Default"/>
        <w:jc w:val="both"/>
        <w:rPr>
          <w:rFonts w:ascii="Times New Roman" w:hAnsi="Times New Roman" w:cs="Times New Roman"/>
          <w:sz w:val="22"/>
          <w:szCs w:val="22"/>
        </w:rPr>
      </w:pPr>
    </w:p>
    <w:p w:rsidR="004E5828" w:rsidRPr="0043008D" w:rsidRDefault="001467E7" w:rsidP="004E5828">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(5) 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 </w:t>
      </w:r>
      <w:r w:rsidR="004E5828">
        <w:rPr>
          <w:rFonts w:ascii="Times New Roman" w:hAnsi="Times New Roman" w:cs="Times New Roman"/>
          <w:sz w:val="22"/>
          <w:szCs w:val="22"/>
        </w:rPr>
        <w:t xml:space="preserve">Parties to this agreement agree that they shall not approach the courts while representing the matter to IEM and will await IEM’s decision in the matter. </w:t>
      </w:r>
    </w:p>
    <w:p w:rsidR="001467E7" w:rsidRPr="0043008D" w:rsidRDefault="001467E7" w:rsidP="001467E7">
      <w:pPr>
        <w:pStyle w:val="Default"/>
        <w:jc w:val="both"/>
        <w:rPr>
          <w:rFonts w:ascii="Times New Roman" w:hAnsi="Times New Roman" w:cs="Times New Roman"/>
          <w:sz w:val="22"/>
          <w:szCs w:val="22"/>
        </w:rPr>
      </w:pPr>
    </w:p>
    <w:p w:rsidR="001467E7"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(6) The Monitor will submit a written report to the Chairman &amp; Managing Director, CENTRAL BANK OF INDIA within 8 to 10 weeks from the date of reference or intimation to him by the </w:t>
      </w:r>
      <w:r w:rsidRPr="0043008D">
        <w:rPr>
          <w:rFonts w:ascii="Times New Roman" w:hAnsi="Times New Roman" w:cs="Times New Roman"/>
          <w:i/>
          <w:iCs/>
          <w:sz w:val="22"/>
          <w:szCs w:val="22"/>
        </w:rPr>
        <w:t xml:space="preserve">Principal </w:t>
      </w:r>
      <w:r w:rsidRPr="0043008D">
        <w:rPr>
          <w:rFonts w:ascii="Times New Roman" w:hAnsi="Times New Roman" w:cs="Times New Roman"/>
          <w:sz w:val="22"/>
          <w:szCs w:val="22"/>
        </w:rPr>
        <w:t xml:space="preserve">and, should the occasion arise, submit proposals for correcting problematic situations.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(7) 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(8) The word </w:t>
      </w:r>
      <w:r>
        <w:rPr>
          <w:rFonts w:ascii="Times New Roman" w:hAnsi="Times New Roman" w:cs="Times New Roman"/>
          <w:b/>
          <w:bCs/>
          <w:sz w:val="22"/>
          <w:szCs w:val="22"/>
        </w:rPr>
        <w:t>“</w:t>
      </w:r>
      <w:r w:rsidRPr="0043008D">
        <w:rPr>
          <w:rFonts w:ascii="Times New Roman" w:hAnsi="Times New Roman" w:cs="Times New Roman"/>
          <w:b/>
          <w:bCs/>
          <w:sz w:val="22"/>
          <w:szCs w:val="22"/>
        </w:rPr>
        <w:t xml:space="preserve">Monitor‟ </w:t>
      </w:r>
      <w:r w:rsidRPr="0043008D">
        <w:rPr>
          <w:rFonts w:ascii="Times New Roman" w:hAnsi="Times New Roman" w:cs="Times New Roman"/>
          <w:sz w:val="22"/>
          <w:szCs w:val="22"/>
        </w:rPr>
        <w:t xml:space="preserve">would include both singular and plural.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b/>
          <w:bCs/>
          <w:sz w:val="22"/>
          <w:szCs w:val="22"/>
        </w:rPr>
      </w:pPr>
    </w:p>
    <w:p w:rsidR="001467E7" w:rsidRPr="0043008D" w:rsidRDefault="001467E7" w:rsidP="001467E7">
      <w:pPr>
        <w:pStyle w:val="Default"/>
        <w:jc w:val="both"/>
        <w:rPr>
          <w:rFonts w:ascii="Times New Roman" w:hAnsi="Times New Roman" w:cs="Times New Roman"/>
          <w:b/>
          <w:bCs/>
          <w:sz w:val="22"/>
          <w:szCs w:val="22"/>
        </w:rPr>
      </w:pPr>
      <w:r w:rsidRPr="0043008D">
        <w:rPr>
          <w:rFonts w:ascii="Times New Roman" w:hAnsi="Times New Roman" w:cs="Times New Roman"/>
          <w:b/>
          <w:bCs/>
          <w:sz w:val="22"/>
          <w:szCs w:val="22"/>
        </w:rPr>
        <w:t xml:space="preserve">Section 9 – Pact Duration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This Pact begins when both parties have legally signed it. It expires for the Contractor 12 months after the last payment under the contract, and for all other Bidders 6 months after the contract has been awarded. </w:t>
      </w: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If any claim is made / lodged during this time, the same shall be binding and continue to be valid despite the lapse of this pact as specified above, unless it is discharged / determined by Chairman &amp; Managing Director of CENTRAL BANK OF INDIA.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b/>
          <w:bCs/>
          <w:sz w:val="22"/>
          <w:szCs w:val="22"/>
        </w:rPr>
      </w:pPr>
      <w:r w:rsidRPr="0043008D">
        <w:rPr>
          <w:rFonts w:ascii="Times New Roman" w:hAnsi="Times New Roman" w:cs="Times New Roman"/>
          <w:b/>
          <w:bCs/>
          <w:sz w:val="22"/>
          <w:szCs w:val="22"/>
        </w:rPr>
        <w:t xml:space="preserve">Section 10 – Other provisions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(1) This agreement is subject to Indian Law. Place of performance and jurisdiction is the Registered Office of the Principal, i.e. Mumbai.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(2) Changes and supplements as well as term</w:t>
      </w:r>
      <w:r>
        <w:rPr>
          <w:rFonts w:ascii="Times New Roman" w:hAnsi="Times New Roman" w:cs="Times New Roman"/>
          <w:sz w:val="22"/>
          <w:szCs w:val="22"/>
        </w:rPr>
        <w:t xml:space="preserve">ination notices need to be made </w:t>
      </w:r>
      <w:r w:rsidRPr="0043008D">
        <w:rPr>
          <w:rFonts w:ascii="Times New Roman" w:hAnsi="Times New Roman" w:cs="Times New Roman"/>
          <w:sz w:val="22"/>
          <w:szCs w:val="22"/>
        </w:rPr>
        <w:t xml:space="preserve">in writing. Side agreements have not been made.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(3) If the Contractor is a partnership or a consortium, this agreement must be signed by all partners or consortium members.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(4) Should one or several provisions of this agreement turn out to be invalid, the remainder of this agreement remains valid. In this case, the parties will strive to come to an agreement to their original intentions.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(5) In the event of any contradiction between the Integrity Pact and its Annexure, the Clause in the Integrity Pact will prevail.”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b/>
          <w:sz w:val="22"/>
          <w:szCs w:val="22"/>
        </w:rPr>
      </w:pPr>
      <w:r w:rsidRPr="0043008D">
        <w:rPr>
          <w:rFonts w:ascii="Times New Roman" w:hAnsi="Times New Roman" w:cs="Times New Roman"/>
          <w:sz w:val="22"/>
          <w:szCs w:val="22"/>
        </w:rPr>
        <w:t>(</w:t>
      </w:r>
      <w:r w:rsidRPr="0043008D">
        <w:rPr>
          <w:rFonts w:ascii="Times New Roman" w:hAnsi="Times New Roman" w:cs="Times New Roman"/>
          <w:b/>
          <w:sz w:val="22"/>
          <w:szCs w:val="22"/>
        </w:rPr>
        <w:t xml:space="preserve">For &amp; On behalf of the Principal)  </w:t>
      </w:r>
      <w:r w:rsidRPr="0043008D">
        <w:rPr>
          <w:rFonts w:ascii="Times New Roman" w:hAnsi="Times New Roman" w:cs="Times New Roman"/>
          <w:sz w:val="22"/>
          <w:szCs w:val="22"/>
        </w:rPr>
        <w:t xml:space="preserve">              </w:t>
      </w:r>
      <w:r w:rsidRPr="0043008D">
        <w:rPr>
          <w:rFonts w:ascii="Times New Roman" w:hAnsi="Times New Roman" w:cs="Times New Roman"/>
          <w:b/>
          <w:sz w:val="22"/>
          <w:szCs w:val="22"/>
        </w:rPr>
        <w:t xml:space="preserve">For &amp; On behalf of the Principal  </w:t>
      </w:r>
      <w:r w:rsidRPr="0043008D">
        <w:rPr>
          <w:rFonts w:ascii="Times New Roman" w:hAnsi="Times New Roman" w:cs="Times New Roman"/>
          <w:sz w:val="22"/>
          <w:szCs w:val="22"/>
        </w:rPr>
        <w:t xml:space="preserve"> </w:t>
      </w:r>
      <w:r w:rsidRPr="0043008D">
        <w:rPr>
          <w:rFonts w:ascii="Times New Roman" w:hAnsi="Times New Roman" w:cs="Times New Roman"/>
          <w:b/>
          <w:sz w:val="22"/>
          <w:szCs w:val="22"/>
        </w:rPr>
        <w:br/>
        <w:t xml:space="preserve">      </w:t>
      </w:r>
      <w:r w:rsidRPr="0043008D">
        <w:rPr>
          <w:rFonts w:ascii="Times New Roman" w:hAnsi="Times New Roman" w:cs="Times New Roman"/>
          <w:b/>
          <w:sz w:val="22"/>
          <w:szCs w:val="22"/>
        </w:rPr>
        <w:tab/>
      </w:r>
      <w:r w:rsidRPr="0043008D">
        <w:rPr>
          <w:rFonts w:ascii="Times New Roman" w:hAnsi="Times New Roman" w:cs="Times New Roman"/>
          <w:b/>
          <w:sz w:val="22"/>
          <w:szCs w:val="22"/>
        </w:rPr>
        <w:tab/>
      </w:r>
      <w:r w:rsidRPr="0043008D">
        <w:rPr>
          <w:rFonts w:ascii="Times New Roman" w:hAnsi="Times New Roman" w:cs="Times New Roman"/>
          <w:b/>
          <w:sz w:val="22"/>
          <w:szCs w:val="22"/>
        </w:rPr>
        <w:tab/>
      </w:r>
      <w:r w:rsidRPr="0043008D">
        <w:rPr>
          <w:rFonts w:ascii="Times New Roman" w:hAnsi="Times New Roman" w:cs="Times New Roman"/>
          <w:b/>
          <w:sz w:val="22"/>
          <w:szCs w:val="22"/>
        </w:rPr>
        <w:tab/>
      </w:r>
      <w:r w:rsidRPr="0043008D">
        <w:rPr>
          <w:rFonts w:ascii="Times New Roman" w:hAnsi="Times New Roman" w:cs="Times New Roman"/>
          <w:b/>
          <w:sz w:val="22"/>
          <w:szCs w:val="22"/>
        </w:rPr>
        <w:tab/>
      </w:r>
      <w:r w:rsidRPr="0043008D">
        <w:rPr>
          <w:rFonts w:ascii="Times New Roman" w:hAnsi="Times New Roman" w:cs="Times New Roman"/>
          <w:b/>
          <w:sz w:val="22"/>
          <w:szCs w:val="22"/>
        </w:rPr>
        <w:tab/>
      </w:r>
      <w:r w:rsidRPr="0043008D">
        <w:rPr>
          <w:rFonts w:ascii="Times New Roman" w:hAnsi="Times New Roman" w:cs="Times New Roman"/>
          <w:b/>
          <w:sz w:val="22"/>
          <w:szCs w:val="22"/>
        </w:rPr>
        <w:tab/>
        <w:t>Bidder / Contractor</w:t>
      </w:r>
      <w:r w:rsidRPr="0043008D">
        <w:rPr>
          <w:rFonts w:ascii="Times New Roman" w:hAnsi="Times New Roman" w:cs="Times New Roman"/>
          <w:b/>
          <w:sz w:val="22"/>
          <w:szCs w:val="22"/>
        </w:rPr>
        <w:br/>
      </w:r>
    </w:p>
    <w:p w:rsidR="001467E7" w:rsidRPr="0043008D" w:rsidRDefault="001467E7" w:rsidP="001467E7">
      <w:pPr>
        <w:pStyle w:val="Default"/>
        <w:jc w:val="both"/>
        <w:rPr>
          <w:rFonts w:ascii="Times New Roman" w:hAnsi="Times New Roman" w:cs="Times New Roman"/>
          <w:b/>
          <w:sz w:val="22"/>
          <w:szCs w:val="22"/>
        </w:rPr>
      </w:pPr>
    </w:p>
    <w:p w:rsidR="001467E7" w:rsidRPr="0043008D" w:rsidRDefault="001467E7" w:rsidP="001467E7">
      <w:pPr>
        <w:pStyle w:val="Default"/>
        <w:jc w:val="both"/>
        <w:rPr>
          <w:rFonts w:ascii="Times New Roman" w:hAnsi="Times New Roman" w:cs="Times New Roman"/>
          <w:b/>
          <w:sz w:val="22"/>
          <w:szCs w:val="22"/>
        </w:rPr>
      </w:pPr>
    </w:p>
    <w:p w:rsidR="001467E7" w:rsidRPr="0043008D" w:rsidRDefault="001467E7" w:rsidP="001467E7">
      <w:pPr>
        <w:pStyle w:val="Default"/>
        <w:jc w:val="both"/>
        <w:rPr>
          <w:rFonts w:ascii="Times New Roman" w:hAnsi="Times New Roman" w:cs="Times New Roman"/>
          <w:b/>
          <w:sz w:val="22"/>
          <w:szCs w:val="22"/>
        </w:rPr>
      </w:pPr>
      <w:r w:rsidRPr="0043008D">
        <w:rPr>
          <w:rFonts w:ascii="Times New Roman" w:hAnsi="Times New Roman" w:cs="Times New Roman"/>
          <w:b/>
          <w:sz w:val="22"/>
          <w:szCs w:val="22"/>
        </w:rPr>
        <w:t>(Office Seal)</w:t>
      </w:r>
      <w:r w:rsidRPr="0043008D">
        <w:rPr>
          <w:rFonts w:ascii="Times New Roman" w:hAnsi="Times New Roman" w:cs="Times New Roman"/>
          <w:b/>
          <w:sz w:val="22"/>
          <w:szCs w:val="22"/>
        </w:rPr>
        <w:tab/>
      </w:r>
      <w:r w:rsidRPr="0043008D">
        <w:rPr>
          <w:rFonts w:ascii="Times New Roman" w:hAnsi="Times New Roman" w:cs="Times New Roman"/>
          <w:b/>
          <w:sz w:val="22"/>
          <w:szCs w:val="22"/>
        </w:rPr>
        <w:tab/>
      </w:r>
      <w:r w:rsidRPr="0043008D">
        <w:rPr>
          <w:rFonts w:ascii="Times New Roman" w:hAnsi="Times New Roman" w:cs="Times New Roman"/>
          <w:b/>
          <w:sz w:val="22"/>
          <w:szCs w:val="22"/>
        </w:rPr>
        <w:tab/>
      </w:r>
      <w:r w:rsidRPr="0043008D">
        <w:rPr>
          <w:rFonts w:ascii="Times New Roman" w:hAnsi="Times New Roman" w:cs="Times New Roman"/>
          <w:b/>
          <w:sz w:val="22"/>
          <w:szCs w:val="22"/>
        </w:rPr>
        <w:tab/>
      </w:r>
      <w:r w:rsidRPr="0043008D">
        <w:rPr>
          <w:rFonts w:ascii="Times New Roman" w:hAnsi="Times New Roman" w:cs="Times New Roman"/>
          <w:b/>
          <w:sz w:val="22"/>
          <w:szCs w:val="22"/>
        </w:rPr>
        <w:tab/>
      </w:r>
      <w:r w:rsidRPr="0043008D">
        <w:rPr>
          <w:rFonts w:ascii="Times New Roman" w:hAnsi="Times New Roman" w:cs="Times New Roman"/>
          <w:b/>
          <w:sz w:val="22"/>
          <w:szCs w:val="22"/>
        </w:rPr>
        <w:tab/>
        <w:t>(Office Seal)</w:t>
      </w:r>
    </w:p>
    <w:p w:rsidR="001467E7" w:rsidRPr="0043008D" w:rsidRDefault="001467E7" w:rsidP="001467E7">
      <w:pPr>
        <w:pStyle w:val="Default"/>
        <w:jc w:val="both"/>
        <w:rPr>
          <w:rFonts w:ascii="Times New Roman" w:hAnsi="Times New Roman" w:cs="Times New Roman"/>
          <w:b/>
          <w:sz w:val="22"/>
          <w:szCs w:val="22"/>
        </w:rPr>
      </w:pP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Place______________</w:t>
      </w:r>
      <w:r w:rsidRPr="0043008D">
        <w:rPr>
          <w:rFonts w:ascii="Times New Roman" w:hAnsi="Times New Roman" w:cs="Times New Roman"/>
          <w:sz w:val="22"/>
          <w:szCs w:val="22"/>
        </w:rPr>
        <w:tab/>
      </w:r>
      <w:r w:rsidRPr="0043008D">
        <w:rPr>
          <w:rFonts w:ascii="Times New Roman" w:hAnsi="Times New Roman" w:cs="Times New Roman"/>
          <w:sz w:val="22"/>
          <w:szCs w:val="22"/>
        </w:rPr>
        <w:tab/>
      </w:r>
      <w:r w:rsidRPr="0043008D">
        <w:rPr>
          <w:rFonts w:ascii="Times New Roman" w:hAnsi="Times New Roman" w:cs="Times New Roman"/>
          <w:sz w:val="22"/>
          <w:szCs w:val="22"/>
        </w:rPr>
        <w:tab/>
      </w:r>
      <w:r w:rsidRPr="0043008D">
        <w:rPr>
          <w:rFonts w:ascii="Times New Roman" w:hAnsi="Times New Roman" w:cs="Times New Roman"/>
          <w:sz w:val="22"/>
          <w:szCs w:val="22"/>
        </w:rPr>
        <w:tab/>
      </w:r>
      <w:r w:rsidRPr="0043008D">
        <w:rPr>
          <w:rFonts w:ascii="Times New Roman" w:hAnsi="Times New Roman" w:cs="Times New Roman"/>
          <w:sz w:val="22"/>
          <w:szCs w:val="22"/>
        </w:rPr>
        <w:tab/>
      </w:r>
      <w:proofErr w:type="spellStart"/>
      <w:r w:rsidRPr="0043008D">
        <w:rPr>
          <w:rFonts w:ascii="Times New Roman" w:hAnsi="Times New Roman" w:cs="Times New Roman"/>
          <w:sz w:val="22"/>
          <w:szCs w:val="22"/>
        </w:rPr>
        <w:t>Place</w:t>
      </w:r>
      <w:proofErr w:type="spellEnd"/>
      <w:r w:rsidRPr="0043008D">
        <w:rPr>
          <w:rFonts w:ascii="Times New Roman" w:hAnsi="Times New Roman" w:cs="Times New Roman"/>
          <w:sz w:val="22"/>
          <w:szCs w:val="22"/>
        </w:rPr>
        <w:t>______________</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Date_______________</w:t>
      </w:r>
      <w:r w:rsidRPr="0043008D">
        <w:rPr>
          <w:rFonts w:ascii="Times New Roman" w:hAnsi="Times New Roman" w:cs="Times New Roman"/>
          <w:sz w:val="22"/>
          <w:szCs w:val="22"/>
        </w:rPr>
        <w:tab/>
      </w:r>
      <w:r w:rsidRPr="0043008D">
        <w:rPr>
          <w:rFonts w:ascii="Times New Roman" w:hAnsi="Times New Roman" w:cs="Times New Roman"/>
          <w:sz w:val="22"/>
          <w:szCs w:val="22"/>
        </w:rPr>
        <w:tab/>
      </w:r>
      <w:r w:rsidRPr="0043008D">
        <w:rPr>
          <w:rFonts w:ascii="Times New Roman" w:hAnsi="Times New Roman" w:cs="Times New Roman"/>
          <w:sz w:val="22"/>
          <w:szCs w:val="22"/>
        </w:rPr>
        <w:tab/>
      </w:r>
      <w:r w:rsidRPr="0043008D">
        <w:rPr>
          <w:rFonts w:ascii="Times New Roman" w:hAnsi="Times New Roman" w:cs="Times New Roman"/>
          <w:sz w:val="22"/>
          <w:szCs w:val="22"/>
        </w:rPr>
        <w:tab/>
      </w:r>
      <w:r w:rsidRPr="0043008D">
        <w:rPr>
          <w:rFonts w:ascii="Times New Roman" w:hAnsi="Times New Roman" w:cs="Times New Roman"/>
          <w:sz w:val="22"/>
          <w:szCs w:val="22"/>
        </w:rPr>
        <w:tab/>
      </w:r>
      <w:proofErr w:type="spellStart"/>
      <w:r w:rsidRPr="0043008D">
        <w:rPr>
          <w:rFonts w:ascii="Times New Roman" w:hAnsi="Times New Roman" w:cs="Times New Roman"/>
          <w:sz w:val="22"/>
          <w:szCs w:val="22"/>
        </w:rPr>
        <w:t>Date</w:t>
      </w:r>
      <w:proofErr w:type="spellEnd"/>
      <w:r w:rsidRPr="0043008D">
        <w:rPr>
          <w:rFonts w:ascii="Times New Roman" w:hAnsi="Times New Roman" w:cs="Times New Roman"/>
          <w:sz w:val="22"/>
          <w:szCs w:val="22"/>
        </w:rPr>
        <w:t>_______________</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Witness1:</w:t>
      </w:r>
      <w:r w:rsidRPr="0043008D">
        <w:rPr>
          <w:rFonts w:ascii="Times New Roman" w:hAnsi="Times New Roman" w:cs="Times New Roman"/>
          <w:sz w:val="22"/>
          <w:szCs w:val="22"/>
        </w:rPr>
        <w:tab/>
      </w:r>
      <w:r w:rsidRPr="0043008D">
        <w:rPr>
          <w:rFonts w:ascii="Times New Roman" w:hAnsi="Times New Roman" w:cs="Times New Roman"/>
          <w:sz w:val="22"/>
          <w:szCs w:val="22"/>
        </w:rPr>
        <w:tab/>
      </w:r>
      <w:r w:rsidRPr="0043008D">
        <w:rPr>
          <w:rFonts w:ascii="Times New Roman" w:hAnsi="Times New Roman" w:cs="Times New Roman"/>
          <w:sz w:val="22"/>
          <w:szCs w:val="22"/>
        </w:rPr>
        <w:tab/>
      </w:r>
      <w:r w:rsidRPr="0043008D">
        <w:rPr>
          <w:rFonts w:ascii="Times New Roman" w:hAnsi="Times New Roman" w:cs="Times New Roman"/>
          <w:sz w:val="22"/>
          <w:szCs w:val="22"/>
        </w:rPr>
        <w:tab/>
      </w:r>
      <w:r w:rsidRPr="0043008D">
        <w:rPr>
          <w:rFonts w:ascii="Times New Roman" w:hAnsi="Times New Roman" w:cs="Times New Roman"/>
          <w:sz w:val="22"/>
          <w:szCs w:val="22"/>
        </w:rPr>
        <w:tab/>
      </w:r>
      <w:r w:rsidRPr="0043008D">
        <w:rPr>
          <w:rFonts w:ascii="Times New Roman" w:hAnsi="Times New Roman" w:cs="Times New Roman"/>
          <w:sz w:val="22"/>
          <w:szCs w:val="22"/>
        </w:rPr>
        <w:tab/>
        <w:t>Witness1:</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Name &amp; Address</w:t>
      </w:r>
      <w:r w:rsidRPr="0043008D">
        <w:rPr>
          <w:rFonts w:ascii="Times New Roman" w:hAnsi="Times New Roman" w:cs="Times New Roman"/>
          <w:sz w:val="22"/>
          <w:szCs w:val="22"/>
        </w:rPr>
        <w:tab/>
      </w:r>
      <w:r w:rsidRPr="0043008D">
        <w:rPr>
          <w:rFonts w:ascii="Times New Roman" w:hAnsi="Times New Roman" w:cs="Times New Roman"/>
          <w:sz w:val="22"/>
          <w:szCs w:val="22"/>
        </w:rPr>
        <w:tab/>
      </w:r>
      <w:r w:rsidRPr="0043008D">
        <w:rPr>
          <w:rFonts w:ascii="Times New Roman" w:hAnsi="Times New Roman" w:cs="Times New Roman"/>
          <w:sz w:val="22"/>
          <w:szCs w:val="22"/>
        </w:rPr>
        <w:tab/>
      </w:r>
      <w:r w:rsidRPr="0043008D">
        <w:rPr>
          <w:rFonts w:ascii="Times New Roman" w:hAnsi="Times New Roman" w:cs="Times New Roman"/>
          <w:sz w:val="22"/>
          <w:szCs w:val="22"/>
        </w:rPr>
        <w:tab/>
      </w:r>
      <w:r w:rsidRPr="0043008D">
        <w:rPr>
          <w:rFonts w:ascii="Times New Roman" w:hAnsi="Times New Roman" w:cs="Times New Roman"/>
          <w:sz w:val="22"/>
          <w:szCs w:val="22"/>
        </w:rPr>
        <w:tab/>
        <w:t>Name &amp; Address</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w:t>
      </w:r>
      <w:r w:rsidRPr="0043008D">
        <w:rPr>
          <w:rFonts w:ascii="Times New Roman" w:hAnsi="Times New Roman" w:cs="Times New Roman"/>
          <w:sz w:val="22"/>
          <w:szCs w:val="22"/>
        </w:rPr>
        <w:tab/>
      </w:r>
      <w:r w:rsidRPr="0043008D">
        <w:rPr>
          <w:rFonts w:ascii="Times New Roman" w:hAnsi="Times New Roman" w:cs="Times New Roman"/>
          <w:sz w:val="22"/>
          <w:szCs w:val="22"/>
        </w:rPr>
        <w:tab/>
      </w:r>
      <w:r w:rsidRPr="0043008D">
        <w:rPr>
          <w:rFonts w:ascii="Times New Roman" w:hAnsi="Times New Roman" w:cs="Times New Roman"/>
          <w:sz w:val="22"/>
          <w:szCs w:val="22"/>
        </w:rPr>
        <w:tab/>
        <w:t>______________________</w:t>
      </w: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w:t>
      </w:r>
      <w:r w:rsidRPr="0043008D">
        <w:rPr>
          <w:rFonts w:ascii="Times New Roman" w:hAnsi="Times New Roman" w:cs="Times New Roman"/>
          <w:sz w:val="22"/>
          <w:szCs w:val="22"/>
        </w:rPr>
        <w:tab/>
      </w:r>
      <w:r w:rsidRPr="0043008D">
        <w:rPr>
          <w:rFonts w:ascii="Times New Roman" w:hAnsi="Times New Roman" w:cs="Times New Roman"/>
          <w:sz w:val="22"/>
          <w:szCs w:val="22"/>
        </w:rPr>
        <w:tab/>
      </w:r>
      <w:r w:rsidRPr="0043008D">
        <w:rPr>
          <w:rFonts w:ascii="Times New Roman" w:hAnsi="Times New Roman" w:cs="Times New Roman"/>
          <w:sz w:val="22"/>
          <w:szCs w:val="22"/>
        </w:rPr>
        <w:tab/>
        <w:t>______________________</w:t>
      </w:r>
      <w:r w:rsidRPr="0043008D">
        <w:rPr>
          <w:rFonts w:ascii="Times New Roman" w:hAnsi="Times New Roman" w:cs="Times New Roman"/>
          <w:sz w:val="22"/>
          <w:szCs w:val="22"/>
        </w:rPr>
        <w:tab/>
      </w:r>
      <w:r w:rsidRPr="0043008D">
        <w:rPr>
          <w:rFonts w:ascii="Times New Roman" w:hAnsi="Times New Roman" w:cs="Times New Roman"/>
          <w:sz w:val="22"/>
          <w:szCs w:val="22"/>
        </w:rPr>
        <w:tab/>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w:t>
      </w:r>
      <w:r w:rsidRPr="0043008D">
        <w:rPr>
          <w:rFonts w:ascii="Times New Roman" w:hAnsi="Times New Roman" w:cs="Times New Roman"/>
          <w:sz w:val="22"/>
          <w:szCs w:val="22"/>
        </w:rPr>
        <w:tab/>
      </w:r>
      <w:r w:rsidRPr="0043008D">
        <w:rPr>
          <w:rFonts w:ascii="Times New Roman" w:hAnsi="Times New Roman" w:cs="Times New Roman"/>
          <w:sz w:val="22"/>
          <w:szCs w:val="22"/>
        </w:rPr>
        <w:tab/>
      </w:r>
      <w:r w:rsidRPr="0043008D">
        <w:rPr>
          <w:rFonts w:ascii="Times New Roman" w:hAnsi="Times New Roman" w:cs="Times New Roman"/>
          <w:sz w:val="22"/>
          <w:szCs w:val="22"/>
        </w:rPr>
        <w:tab/>
        <w:t>_______________________</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Witness 2:</w:t>
      </w:r>
      <w:r w:rsidRPr="0043008D">
        <w:rPr>
          <w:rFonts w:ascii="Times New Roman" w:hAnsi="Times New Roman" w:cs="Times New Roman"/>
          <w:sz w:val="22"/>
          <w:szCs w:val="22"/>
        </w:rPr>
        <w:tab/>
      </w:r>
      <w:r w:rsidRPr="0043008D">
        <w:rPr>
          <w:rFonts w:ascii="Times New Roman" w:hAnsi="Times New Roman" w:cs="Times New Roman"/>
          <w:sz w:val="22"/>
          <w:szCs w:val="22"/>
        </w:rPr>
        <w:tab/>
      </w:r>
      <w:r w:rsidRPr="0043008D">
        <w:rPr>
          <w:rFonts w:ascii="Times New Roman" w:hAnsi="Times New Roman" w:cs="Times New Roman"/>
          <w:sz w:val="22"/>
          <w:szCs w:val="22"/>
        </w:rPr>
        <w:tab/>
      </w:r>
      <w:r w:rsidRPr="0043008D">
        <w:rPr>
          <w:rFonts w:ascii="Times New Roman" w:hAnsi="Times New Roman" w:cs="Times New Roman"/>
          <w:sz w:val="22"/>
          <w:szCs w:val="22"/>
        </w:rPr>
        <w:tab/>
      </w:r>
      <w:r w:rsidRPr="0043008D">
        <w:rPr>
          <w:rFonts w:ascii="Times New Roman" w:hAnsi="Times New Roman" w:cs="Times New Roman"/>
          <w:sz w:val="22"/>
          <w:szCs w:val="22"/>
        </w:rPr>
        <w:tab/>
      </w:r>
      <w:r w:rsidRPr="0043008D">
        <w:rPr>
          <w:rFonts w:ascii="Times New Roman" w:hAnsi="Times New Roman" w:cs="Times New Roman"/>
          <w:sz w:val="22"/>
          <w:szCs w:val="22"/>
        </w:rPr>
        <w:tab/>
        <w:t>Witness 2:</w:t>
      </w: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Name &amp; Address</w:t>
      </w:r>
      <w:r w:rsidRPr="0043008D">
        <w:rPr>
          <w:rFonts w:ascii="Times New Roman" w:hAnsi="Times New Roman" w:cs="Times New Roman"/>
          <w:sz w:val="22"/>
          <w:szCs w:val="22"/>
        </w:rPr>
        <w:tab/>
      </w:r>
      <w:r w:rsidRPr="0043008D">
        <w:rPr>
          <w:rFonts w:ascii="Times New Roman" w:hAnsi="Times New Roman" w:cs="Times New Roman"/>
          <w:sz w:val="22"/>
          <w:szCs w:val="22"/>
        </w:rPr>
        <w:tab/>
      </w:r>
      <w:r w:rsidRPr="0043008D">
        <w:rPr>
          <w:rFonts w:ascii="Times New Roman" w:hAnsi="Times New Roman" w:cs="Times New Roman"/>
          <w:sz w:val="22"/>
          <w:szCs w:val="22"/>
        </w:rPr>
        <w:tab/>
      </w:r>
      <w:r w:rsidRPr="0043008D">
        <w:rPr>
          <w:rFonts w:ascii="Times New Roman" w:hAnsi="Times New Roman" w:cs="Times New Roman"/>
          <w:sz w:val="22"/>
          <w:szCs w:val="22"/>
        </w:rPr>
        <w:tab/>
      </w:r>
      <w:r w:rsidRPr="0043008D">
        <w:rPr>
          <w:rFonts w:ascii="Times New Roman" w:hAnsi="Times New Roman" w:cs="Times New Roman"/>
          <w:sz w:val="22"/>
          <w:szCs w:val="22"/>
        </w:rPr>
        <w:tab/>
        <w:t>Name &amp; Address</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w:t>
      </w:r>
      <w:r w:rsidRPr="0043008D">
        <w:rPr>
          <w:rFonts w:ascii="Times New Roman" w:hAnsi="Times New Roman" w:cs="Times New Roman"/>
          <w:sz w:val="22"/>
          <w:szCs w:val="22"/>
        </w:rPr>
        <w:tab/>
      </w:r>
      <w:r w:rsidRPr="0043008D">
        <w:rPr>
          <w:rFonts w:ascii="Times New Roman" w:hAnsi="Times New Roman" w:cs="Times New Roman"/>
          <w:sz w:val="22"/>
          <w:szCs w:val="22"/>
        </w:rPr>
        <w:tab/>
      </w:r>
      <w:r w:rsidRPr="0043008D">
        <w:rPr>
          <w:rFonts w:ascii="Times New Roman" w:hAnsi="Times New Roman" w:cs="Times New Roman"/>
          <w:sz w:val="22"/>
          <w:szCs w:val="22"/>
        </w:rPr>
        <w:tab/>
        <w:t>________________________</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w:t>
      </w:r>
      <w:r w:rsidRPr="0043008D">
        <w:rPr>
          <w:rFonts w:ascii="Times New Roman" w:hAnsi="Times New Roman" w:cs="Times New Roman"/>
          <w:sz w:val="22"/>
          <w:szCs w:val="22"/>
        </w:rPr>
        <w:tab/>
      </w:r>
      <w:r w:rsidRPr="0043008D">
        <w:rPr>
          <w:rFonts w:ascii="Times New Roman" w:hAnsi="Times New Roman" w:cs="Times New Roman"/>
          <w:sz w:val="22"/>
          <w:szCs w:val="22"/>
        </w:rPr>
        <w:tab/>
      </w:r>
      <w:r w:rsidRPr="0043008D">
        <w:rPr>
          <w:rFonts w:ascii="Times New Roman" w:hAnsi="Times New Roman" w:cs="Times New Roman"/>
          <w:sz w:val="22"/>
          <w:szCs w:val="22"/>
        </w:rPr>
        <w:tab/>
        <w:t>_________________________</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pBdr>
          <w:bottom w:val="single" w:sz="6" w:space="1" w:color="auto"/>
        </w:pBdr>
        <w:jc w:val="both"/>
        <w:rPr>
          <w:rFonts w:ascii="Times New Roman" w:hAnsi="Times New Roman" w:cs="Times New Roman"/>
          <w:sz w:val="22"/>
          <w:szCs w:val="22"/>
        </w:rPr>
      </w:pPr>
      <w:r w:rsidRPr="0043008D">
        <w:rPr>
          <w:rFonts w:ascii="Times New Roman" w:hAnsi="Times New Roman" w:cs="Times New Roman"/>
          <w:sz w:val="22"/>
          <w:szCs w:val="22"/>
        </w:rPr>
        <w:t>------------------------------------</w:t>
      </w:r>
      <w:r w:rsidRPr="0043008D">
        <w:rPr>
          <w:rFonts w:ascii="Times New Roman" w:hAnsi="Times New Roman" w:cs="Times New Roman"/>
          <w:sz w:val="22"/>
          <w:szCs w:val="22"/>
        </w:rPr>
        <w:tab/>
      </w:r>
      <w:r w:rsidRPr="0043008D">
        <w:rPr>
          <w:rFonts w:ascii="Times New Roman" w:hAnsi="Times New Roman" w:cs="Times New Roman"/>
          <w:sz w:val="22"/>
          <w:szCs w:val="22"/>
        </w:rPr>
        <w:tab/>
      </w:r>
      <w:r w:rsidRPr="0043008D">
        <w:rPr>
          <w:rFonts w:ascii="Times New Roman" w:hAnsi="Times New Roman" w:cs="Times New Roman"/>
          <w:sz w:val="22"/>
          <w:szCs w:val="22"/>
        </w:rPr>
        <w:tab/>
        <w:t>_________________________</w:t>
      </w:r>
    </w:p>
    <w:p w:rsidR="001467E7" w:rsidRPr="0043008D" w:rsidRDefault="001467E7" w:rsidP="001467E7">
      <w:pPr>
        <w:pStyle w:val="Default"/>
        <w:pBdr>
          <w:bottom w:val="single" w:sz="6" w:space="1" w:color="auto"/>
        </w:pBdr>
        <w:jc w:val="both"/>
        <w:rPr>
          <w:rFonts w:ascii="Times New Roman" w:hAnsi="Times New Roman" w:cs="Times New Roman"/>
          <w:sz w:val="22"/>
          <w:szCs w:val="22"/>
        </w:rPr>
      </w:pPr>
    </w:p>
    <w:p w:rsidR="001467E7" w:rsidRPr="0043008D" w:rsidRDefault="001467E7" w:rsidP="001467E7">
      <w:pPr>
        <w:jc w:val="both"/>
        <w:rPr>
          <w:sz w:val="22"/>
          <w:szCs w:val="22"/>
        </w:rPr>
      </w:pPr>
    </w:p>
    <w:p w:rsidR="001467E7" w:rsidRPr="0043008D" w:rsidRDefault="001467E7" w:rsidP="001467E7">
      <w:pPr>
        <w:jc w:val="both"/>
        <w:rPr>
          <w:b/>
          <w:bCs/>
          <w:sz w:val="22"/>
          <w:szCs w:val="22"/>
        </w:rPr>
      </w:pPr>
      <w:r w:rsidRPr="0043008D">
        <w:rPr>
          <w:sz w:val="22"/>
          <w:szCs w:val="22"/>
        </w:rPr>
        <w:br w:type="page"/>
      </w:r>
      <w:r w:rsidRPr="0043008D">
        <w:rPr>
          <w:b/>
          <w:bCs/>
          <w:sz w:val="22"/>
          <w:szCs w:val="22"/>
        </w:rPr>
        <w:lastRenderedPageBreak/>
        <w:t xml:space="preserve">GUIDELINES FOR INDIAN AGENTS OF FOREIGN SUPPLIERS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1.0 There shall be compulsory registration of agents for all Global (Open) Tender and Limited Tender. An agent who is not registered with CENTRAL BANK OF INDIA shall apply for registration in the prescribed Application –Form.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1.1 Registered agents will file an authenticated Photostat copy duly attested by a Notary Public/Original certificate of the principal confirming the agency agreement and giving the status being enjoyed by the agent and the commission/remuneration/salary/ retainer ship being paid by the principal to the agent before the placement of order by CENTRAL BANK OF INDIA.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1.2 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b/>
          <w:bCs/>
          <w:sz w:val="22"/>
          <w:szCs w:val="22"/>
        </w:rPr>
        <w:t>2.0 DISCLOSURE OF PARTICULARS OF AGENTS/ REPRESENTATIVES IN INDIA. IF ANY</w:t>
      </w:r>
      <w:r w:rsidRPr="0043008D">
        <w:rPr>
          <w:rFonts w:ascii="Times New Roman" w:hAnsi="Times New Roman" w:cs="Times New Roman"/>
          <w:sz w:val="22"/>
          <w:szCs w:val="22"/>
        </w:rPr>
        <w:t xml:space="preserve">.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2.1 Tenderers of Foreign nationality shall furnish the following details in their offer: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2.1.1 The name and address of the agents/representatives in India, if any and the extent of authorization and authority given to commit the Principals. In case the agent/representative be a foreign Bank, it shall be confirmed whether it is real substantial Bank and details of the same shall be furnished.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2.1.2 The amount of commission/remuneration included in the quoted price(s) for such agents/representatives in India.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2.1.3 Confirmation of the Tenderer that the commission/ remuneration if any, payable to his agents/representatives in India, may be paid by CENTRAL BANK OF INDIA in Indian Rupees only.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2.2 Tenderers of Indian Nationality shall furnish the following details in their offers: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2.2.1 The name and address of the foreign principals indicating their nationality as well as their status, </w:t>
      </w:r>
      <w:proofErr w:type="spellStart"/>
      <w:r w:rsidRPr="0043008D">
        <w:rPr>
          <w:rFonts w:ascii="Times New Roman" w:hAnsi="Times New Roman" w:cs="Times New Roman"/>
          <w:sz w:val="22"/>
          <w:szCs w:val="22"/>
        </w:rPr>
        <w:t>i.e</w:t>
      </w:r>
      <w:proofErr w:type="spellEnd"/>
      <w:r w:rsidRPr="0043008D">
        <w:rPr>
          <w:rFonts w:ascii="Times New Roman" w:hAnsi="Times New Roman" w:cs="Times New Roman"/>
          <w:sz w:val="22"/>
          <w:szCs w:val="22"/>
        </w:rPr>
        <w:t xml:space="preserve">, whether manufacturer or agents of manufacturer holding the Letter of Authority of the Principal specifically authorizing the agent to make an offer in India in response to tender either directly or through the agents/representatives.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2.2.2 The amount of commission/remuneration included in the price (s) quoted by the Tenderer for himself.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2.2.3 Confirmation of the foreign principals of the Tenderer that the commission/remuneration, if any, reserved for the Tenderer in the quoted price (s), may be paid by CENTRAL BANK OF INDIA in India in equivalent Indian Rupees on satisfactory completion of the Project or supplies of Stores and Spares in case of operation items .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lastRenderedPageBreak/>
        <w:t xml:space="preserve">2.3 In either case, in the event of contract materializing, the terms of payment will provide for payment of the commission /remuneration, if any payable to the agents/representatives in India in Indian Rupees on expiry of 90 days after the discharge of the obligations under the contract. </w:t>
      </w:r>
    </w:p>
    <w:p w:rsidR="001467E7" w:rsidRPr="0043008D" w:rsidRDefault="001467E7" w:rsidP="001467E7">
      <w:pPr>
        <w:pStyle w:val="Default"/>
        <w:jc w:val="both"/>
        <w:rPr>
          <w:rFonts w:ascii="Times New Roman" w:hAnsi="Times New Roman" w:cs="Times New Roman"/>
          <w:sz w:val="22"/>
          <w:szCs w:val="22"/>
        </w:rPr>
      </w:pPr>
    </w:p>
    <w:p w:rsidR="001467E7" w:rsidRPr="0043008D" w:rsidRDefault="001467E7" w:rsidP="001467E7">
      <w:pPr>
        <w:pStyle w:val="Default"/>
        <w:jc w:val="both"/>
        <w:rPr>
          <w:rFonts w:ascii="Times New Roman" w:hAnsi="Times New Roman" w:cs="Times New Roman"/>
          <w:sz w:val="22"/>
          <w:szCs w:val="22"/>
        </w:rPr>
      </w:pPr>
      <w:r w:rsidRPr="0043008D">
        <w:rPr>
          <w:rFonts w:ascii="Times New Roman" w:hAnsi="Times New Roman" w:cs="Times New Roman"/>
          <w:sz w:val="22"/>
          <w:szCs w:val="22"/>
        </w:rPr>
        <w:t xml:space="preserve">2.4 Failure to furnish correct and detailed information as called for in paragraph-2.0 above will render the concerned tender liable to rejection or in the event of a contract materializing, the same liable to termination by CENTRAL BANK OF INDIA. Besides this there would be a penalty of banning business dealings with CENTRAL BANK OF INDIA or damage or payment of a named sum. </w:t>
      </w:r>
    </w:p>
    <w:p w:rsidR="001467E7" w:rsidRPr="0043008D" w:rsidRDefault="001467E7" w:rsidP="001467E7">
      <w:pPr>
        <w:pStyle w:val="Default"/>
        <w:jc w:val="both"/>
        <w:rPr>
          <w:rFonts w:ascii="Times New Roman" w:hAnsi="Times New Roman" w:cs="Times New Roman"/>
          <w:sz w:val="22"/>
          <w:szCs w:val="22"/>
        </w:rPr>
      </w:pPr>
      <w:r>
        <w:rPr>
          <w:rFonts w:ascii="Times New Roman" w:hAnsi="Times New Roman" w:cs="Times New Roman"/>
          <w:sz w:val="22"/>
          <w:szCs w:val="22"/>
        </w:rPr>
        <w:br w:type="page"/>
      </w:r>
      <w:r w:rsidRPr="0043008D">
        <w:rPr>
          <w:rFonts w:ascii="Times New Roman" w:hAnsi="Times New Roman" w:cs="Times New Roman"/>
          <w:b/>
          <w:bCs/>
          <w:sz w:val="22"/>
          <w:szCs w:val="22"/>
        </w:rPr>
        <w:lastRenderedPageBreak/>
        <w:t xml:space="preserve">Guidelines on Banning of Business Dealing </w:t>
      </w:r>
    </w:p>
    <w:p w:rsidR="001467E7" w:rsidRPr="0043008D" w:rsidRDefault="001467E7" w:rsidP="001467E7">
      <w:pPr>
        <w:jc w:val="both"/>
        <w:rPr>
          <w:sz w:val="22"/>
          <w:szCs w:val="22"/>
        </w:rPr>
      </w:pPr>
      <w:r w:rsidRPr="0043008D">
        <w:rPr>
          <w:sz w:val="22"/>
          <w:szCs w:val="22"/>
        </w:rPr>
        <w:t xml:space="preserve">    S</w:t>
      </w:r>
      <w:r>
        <w:rPr>
          <w:sz w:val="22"/>
          <w:szCs w:val="22"/>
        </w:rPr>
        <w:t>r. No     CONTENTS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43008D">
        <w:rPr>
          <w:sz w:val="22"/>
          <w:szCs w:val="22"/>
        </w:rPr>
        <w:t>PAGE(S)</w:t>
      </w:r>
    </w:p>
    <w:p w:rsidR="001467E7" w:rsidRPr="0043008D" w:rsidRDefault="001467E7" w:rsidP="001467E7">
      <w:pPr>
        <w:pStyle w:val="ListParagraph"/>
        <w:numPr>
          <w:ilvl w:val="0"/>
          <w:numId w:val="6"/>
        </w:numPr>
        <w:spacing w:after="200" w:line="276" w:lineRule="auto"/>
        <w:jc w:val="both"/>
        <w:rPr>
          <w:rFonts w:ascii="Times New Roman" w:hAnsi="Times New Roman"/>
        </w:rPr>
      </w:pPr>
      <w:r w:rsidRPr="0043008D">
        <w:rPr>
          <w:rFonts w:ascii="Times New Roman" w:hAnsi="Times New Roman"/>
        </w:rPr>
        <w:t xml:space="preserve">INTRODCUTION  </w:t>
      </w:r>
      <w:r w:rsidRPr="0043008D">
        <w:rPr>
          <w:rFonts w:ascii="Times New Roman" w:hAnsi="Times New Roman"/>
        </w:rPr>
        <w:tab/>
      </w:r>
      <w:r w:rsidRPr="0043008D">
        <w:rPr>
          <w:rFonts w:ascii="Times New Roman" w:hAnsi="Times New Roman"/>
        </w:rPr>
        <w:tab/>
      </w:r>
      <w:r w:rsidRPr="0043008D">
        <w:rPr>
          <w:rFonts w:ascii="Times New Roman" w:hAnsi="Times New Roman"/>
        </w:rPr>
        <w:tab/>
      </w:r>
      <w:r w:rsidRPr="0043008D">
        <w:rPr>
          <w:rFonts w:ascii="Times New Roman" w:hAnsi="Times New Roman"/>
        </w:rPr>
        <w:tab/>
      </w:r>
      <w:r w:rsidRPr="0043008D">
        <w:rPr>
          <w:rFonts w:ascii="Times New Roman" w:hAnsi="Times New Roman"/>
        </w:rPr>
        <w:tab/>
      </w:r>
      <w:r w:rsidRPr="0043008D">
        <w:rPr>
          <w:rFonts w:ascii="Times New Roman" w:hAnsi="Times New Roman"/>
        </w:rPr>
        <w:tab/>
      </w:r>
      <w:r w:rsidRPr="0043008D">
        <w:rPr>
          <w:rFonts w:ascii="Times New Roman" w:hAnsi="Times New Roman"/>
        </w:rPr>
        <w:tab/>
        <w:t>9</w:t>
      </w:r>
    </w:p>
    <w:p w:rsidR="001467E7" w:rsidRPr="0043008D" w:rsidRDefault="001467E7" w:rsidP="001467E7">
      <w:pPr>
        <w:pStyle w:val="ListParagraph"/>
        <w:jc w:val="both"/>
        <w:rPr>
          <w:rFonts w:ascii="Times New Roman" w:hAnsi="Times New Roman"/>
        </w:rPr>
      </w:pPr>
    </w:p>
    <w:p w:rsidR="001467E7" w:rsidRPr="0043008D" w:rsidRDefault="001467E7" w:rsidP="001467E7">
      <w:pPr>
        <w:pStyle w:val="ListParagraph"/>
        <w:numPr>
          <w:ilvl w:val="0"/>
          <w:numId w:val="6"/>
        </w:numPr>
        <w:spacing w:after="200" w:line="276" w:lineRule="auto"/>
        <w:jc w:val="both"/>
        <w:rPr>
          <w:rFonts w:ascii="Times New Roman" w:hAnsi="Times New Roman"/>
        </w:rPr>
      </w:pPr>
      <w:r w:rsidRPr="0043008D">
        <w:rPr>
          <w:rFonts w:ascii="Times New Roman" w:hAnsi="Times New Roman"/>
        </w:rPr>
        <w:t>SCOPE</w:t>
      </w:r>
      <w:r w:rsidRPr="0043008D">
        <w:rPr>
          <w:rFonts w:ascii="Times New Roman" w:hAnsi="Times New Roman"/>
        </w:rPr>
        <w:tab/>
      </w:r>
      <w:r w:rsidRPr="0043008D">
        <w:rPr>
          <w:rFonts w:ascii="Times New Roman" w:hAnsi="Times New Roman"/>
        </w:rPr>
        <w:tab/>
      </w:r>
      <w:r w:rsidRPr="0043008D">
        <w:rPr>
          <w:rFonts w:ascii="Times New Roman" w:hAnsi="Times New Roman"/>
        </w:rPr>
        <w:tab/>
      </w:r>
      <w:r w:rsidRPr="0043008D">
        <w:rPr>
          <w:rFonts w:ascii="Times New Roman" w:hAnsi="Times New Roman"/>
        </w:rPr>
        <w:tab/>
      </w:r>
      <w:r w:rsidRPr="0043008D">
        <w:rPr>
          <w:rFonts w:ascii="Times New Roman" w:hAnsi="Times New Roman"/>
        </w:rPr>
        <w:tab/>
      </w:r>
      <w:r w:rsidRPr="0043008D">
        <w:rPr>
          <w:rFonts w:ascii="Times New Roman" w:hAnsi="Times New Roman"/>
        </w:rPr>
        <w:tab/>
      </w:r>
      <w:r w:rsidRPr="0043008D">
        <w:rPr>
          <w:rFonts w:ascii="Times New Roman" w:hAnsi="Times New Roman"/>
        </w:rPr>
        <w:tab/>
      </w:r>
      <w:r w:rsidRPr="0043008D">
        <w:rPr>
          <w:rFonts w:ascii="Times New Roman" w:hAnsi="Times New Roman"/>
        </w:rPr>
        <w:tab/>
      </w:r>
      <w:r w:rsidRPr="0043008D">
        <w:rPr>
          <w:rFonts w:ascii="Times New Roman" w:hAnsi="Times New Roman"/>
        </w:rPr>
        <w:tab/>
        <w:t>9</w:t>
      </w:r>
    </w:p>
    <w:p w:rsidR="001467E7" w:rsidRPr="0043008D" w:rsidRDefault="001467E7" w:rsidP="001467E7">
      <w:pPr>
        <w:pStyle w:val="ListParagraph"/>
        <w:rPr>
          <w:rFonts w:ascii="Times New Roman" w:hAnsi="Times New Roman"/>
        </w:rPr>
      </w:pPr>
    </w:p>
    <w:p w:rsidR="001467E7" w:rsidRPr="0043008D" w:rsidRDefault="001467E7" w:rsidP="001467E7">
      <w:pPr>
        <w:pStyle w:val="ListParagraph"/>
        <w:numPr>
          <w:ilvl w:val="0"/>
          <w:numId w:val="6"/>
        </w:numPr>
        <w:spacing w:after="200" w:line="276" w:lineRule="auto"/>
        <w:jc w:val="both"/>
        <w:rPr>
          <w:rFonts w:ascii="Times New Roman" w:hAnsi="Times New Roman"/>
        </w:rPr>
      </w:pPr>
      <w:r w:rsidRPr="0043008D">
        <w:rPr>
          <w:rFonts w:ascii="Times New Roman" w:hAnsi="Times New Roman"/>
        </w:rPr>
        <w:t>DEFINITIONS</w:t>
      </w:r>
      <w:r w:rsidRPr="0043008D">
        <w:rPr>
          <w:rFonts w:ascii="Times New Roman" w:hAnsi="Times New Roman"/>
        </w:rPr>
        <w:tab/>
      </w:r>
      <w:r w:rsidRPr="0043008D">
        <w:rPr>
          <w:rFonts w:ascii="Times New Roman" w:hAnsi="Times New Roman"/>
        </w:rPr>
        <w:tab/>
      </w:r>
      <w:r w:rsidRPr="0043008D">
        <w:rPr>
          <w:rFonts w:ascii="Times New Roman" w:hAnsi="Times New Roman"/>
        </w:rPr>
        <w:tab/>
      </w:r>
      <w:r w:rsidRPr="0043008D">
        <w:rPr>
          <w:rFonts w:ascii="Times New Roman" w:hAnsi="Times New Roman"/>
        </w:rPr>
        <w:tab/>
      </w:r>
      <w:r w:rsidRPr="0043008D">
        <w:rPr>
          <w:rFonts w:ascii="Times New Roman" w:hAnsi="Times New Roman"/>
        </w:rPr>
        <w:tab/>
      </w:r>
      <w:r w:rsidRPr="0043008D">
        <w:rPr>
          <w:rFonts w:ascii="Times New Roman" w:hAnsi="Times New Roman"/>
        </w:rPr>
        <w:tab/>
      </w:r>
      <w:r w:rsidRPr="0043008D">
        <w:rPr>
          <w:rFonts w:ascii="Times New Roman" w:hAnsi="Times New Roman"/>
        </w:rPr>
        <w:tab/>
      </w:r>
      <w:r w:rsidRPr="0043008D">
        <w:rPr>
          <w:rFonts w:ascii="Times New Roman" w:hAnsi="Times New Roman"/>
        </w:rPr>
        <w:tab/>
        <w:t>10-11</w:t>
      </w:r>
    </w:p>
    <w:p w:rsidR="001467E7" w:rsidRPr="0043008D" w:rsidRDefault="001467E7" w:rsidP="001467E7">
      <w:pPr>
        <w:pStyle w:val="ListParagraph"/>
        <w:rPr>
          <w:rFonts w:ascii="Times New Roman" w:hAnsi="Times New Roman"/>
        </w:rPr>
      </w:pPr>
    </w:p>
    <w:p w:rsidR="001467E7" w:rsidRPr="0043008D" w:rsidRDefault="001467E7" w:rsidP="001467E7">
      <w:pPr>
        <w:pStyle w:val="ListParagraph"/>
        <w:numPr>
          <w:ilvl w:val="0"/>
          <w:numId w:val="6"/>
        </w:numPr>
        <w:spacing w:after="200" w:line="276" w:lineRule="auto"/>
        <w:jc w:val="both"/>
        <w:rPr>
          <w:rFonts w:ascii="Times New Roman" w:hAnsi="Times New Roman"/>
        </w:rPr>
      </w:pPr>
      <w:r w:rsidRPr="0043008D">
        <w:rPr>
          <w:rFonts w:ascii="Times New Roman" w:hAnsi="Times New Roman"/>
        </w:rPr>
        <w:t>INITIATION OF BANNING / SUSPENSION</w:t>
      </w:r>
      <w:r w:rsidRPr="0043008D">
        <w:rPr>
          <w:rFonts w:ascii="Times New Roman" w:hAnsi="Times New Roman"/>
        </w:rPr>
        <w:tab/>
      </w:r>
      <w:r w:rsidRPr="0043008D">
        <w:rPr>
          <w:rFonts w:ascii="Times New Roman" w:hAnsi="Times New Roman"/>
        </w:rPr>
        <w:tab/>
      </w:r>
      <w:r w:rsidRPr="0043008D">
        <w:rPr>
          <w:rFonts w:ascii="Times New Roman" w:hAnsi="Times New Roman"/>
        </w:rPr>
        <w:tab/>
      </w:r>
      <w:r w:rsidRPr="0043008D">
        <w:rPr>
          <w:rFonts w:ascii="Times New Roman" w:hAnsi="Times New Roman"/>
        </w:rPr>
        <w:tab/>
        <w:t>11</w:t>
      </w:r>
    </w:p>
    <w:p w:rsidR="001467E7" w:rsidRPr="0043008D" w:rsidRDefault="001467E7" w:rsidP="001467E7">
      <w:pPr>
        <w:pStyle w:val="ListParagraph"/>
        <w:rPr>
          <w:rFonts w:ascii="Times New Roman" w:hAnsi="Times New Roman"/>
        </w:rPr>
      </w:pPr>
    </w:p>
    <w:p w:rsidR="001467E7" w:rsidRPr="0043008D" w:rsidRDefault="001467E7" w:rsidP="001467E7">
      <w:pPr>
        <w:pStyle w:val="ListParagraph"/>
        <w:numPr>
          <w:ilvl w:val="0"/>
          <w:numId w:val="6"/>
        </w:numPr>
        <w:spacing w:after="200" w:line="276" w:lineRule="auto"/>
        <w:jc w:val="both"/>
        <w:rPr>
          <w:rFonts w:ascii="Times New Roman" w:hAnsi="Times New Roman"/>
        </w:rPr>
      </w:pPr>
      <w:r w:rsidRPr="0043008D">
        <w:rPr>
          <w:rFonts w:ascii="Times New Roman" w:hAnsi="Times New Roman"/>
        </w:rPr>
        <w:t>SUSPENSION OF BUSINESS DEALING</w:t>
      </w:r>
      <w:r w:rsidRPr="0043008D">
        <w:rPr>
          <w:rFonts w:ascii="Times New Roman" w:hAnsi="Times New Roman"/>
        </w:rPr>
        <w:tab/>
      </w:r>
      <w:r w:rsidRPr="0043008D">
        <w:rPr>
          <w:rFonts w:ascii="Times New Roman" w:hAnsi="Times New Roman"/>
        </w:rPr>
        <w:tab/>
      </w:r>
      <w:r w:rsidRPr="0043008D">
        <w:rPr>
          <w:rFonts w:ascii="Times New Roman" w:hAnsi="Times New Roman"/>
        </w:rPr>
        <w:tab/>
      </w:r>
      <w:r w:rsidRPr="0043008D">
        <w:rPr>
          <w:rFonts w:ascii="Times New Roman" w:hAnsi="Times New Roman"/>
        </w:rPr>
        <w:tab/>
        <w:t>11-12</w:t>
      </w:r>
    </w:p>
    <w:p w:rsidR="001467E7" w:rsidRPr="0043008D" w:rsidRDefault="001467E7" w:rsidP="001467E7">
      <w:pPr>
        <w:pStyle w:val="ListParagraph"/>
        <w:rPr>
          <w:rFonts w:ascii="Times New Roman" w:hAnsi="Times New Roman"/>
        </w:rPr>
      </w:pPr>
    </w:p>
    <w:p w:rsidR="001467E7" w:rsidRPr="0043008D" w:rsidRDefault="001467E7" w:rsidP="001467E7">
      <w:pPr>
        <w:pStyle w:val="ListParagraph"/>
        <w:numPr>
          <w:ilvl w:val="0"/>
          <w:numId w:val="6"/>
        </w:numPr>
        <w:spacing w:after="200" w:line="276" w:lineRule="auto"/>
        <w:jc w:val="both"/>
        <w:rPr>
          <w:rFonts w:ascii="Times New Roman" w:hAnsi="Times New Roman"/>
        </w:rPr>
      </w:pPr>
      <w:r w:rsidRPr="0043008D">
        <w:rPr>
          <w:rFonts w:ascii="Times New Roman" w:hAnsi="Times New Roman"/>
        </w:rPr>
        <w:t xml:space="preserve">GROUND ON WHICH BANNING OF BUSINESS DELINGS </w:t>
      </w:r>
    </w:p>
    <w:p w:rsidR="001467E7" w:rsidRPr="0043008D" w:rsidRDefault="001467E7" w:rsidP="001467E7">
      <w:pPr>
        <w:pStyle w:val="ListParagraph"/>
        <w:rPr>
          <w:rFonts w:ascii="Times New Roman" w:hAnsi="Times New Roman"/>
        </w:rPr>
      </w:pPr>
    </w:p>
    <w:p w:rsidR="001467E7" w:rsidRPr="0043008D" w:rsidRDefault="001467E7" w:rsidP="001467E7">
      <w:pPr>
        <w:pStyle w:val="ListParagraph"/>
        <w:jc w:val="both"/>
        <w:rPr>
          <w:rFonts w:ascii="Times New Roman" w:hAnsi="Times New Roman"/>
        </w:rPr>
      </w:pPr>
      <w:r w:rsidRPr="0043008D">
        <w:rPr>
          <w:rFonts w:ascii="Times New Roman" w:hAnsi="Times New Roman"/>
        </w:rPr>
        <w:t>CAN BE INITIATED</w:t>
      </w:r>
      <w:r w:rsidRPr="0043008D">
        <w:rPr>
          <w:rFonts w:ascii="Times New Roman" w:hAnsi="Times New Roman"/>
        </w:rPr>
        <w:tab/>
      </w:r>
      <w:r w:rsidRPr="0043008D">
        <w:rPr>
          <w:rFonts w:ascii="Times New Roman" w:hAnsi="Times New Roman"/>
        </w:rPr>
        <w:tab/>
      </w:r>
      <w:r w:rsidRPr="0043008D">
        <w:rPr>
          <w:rFonts w:ascii="Times New Roman" w:hAnsi="Times New Roman"/>
        </w:rPr>
        <w:tab/>
      </w:r>
      <w:r w:rsidRPr="0043008D">
        <w:rPr>
          <w:rFonts w:ascii="Times New Roman" w:hAnsi="Times New Roman"/>
        </w:rPr>
        <w:tab/>
      </w:r>
      <w:r w:rsidRPr="0043008D">
        <w:rPr>
          <w:rFonts w:ascii="Times New Roman" w:hAnsi="Times New Roman"/>
        </w:rPr>
        <w:tab/>
      </w:r>
      <w:r w:rsidRPr="0043008D">
        <w:rPr>
          <w:rFonts w:ascii="Times New Roman" w:hAnsi="Times New Roman"/>
        </w:rPr>
        <w:tab/>
      </w:r>
      <w:r w:rsidRPr="0043008D">
        <w:rPr>
          <w:rFonts w:ascii="Times New Roman" w:hAnsi="Times New Roman"/>
        </w:rPr>
        <w:tab/>
        <w:t>12-13</w:t>
      </w:r>
    </w:p>
    <w:p w:rsidR="001467E7" w:rsidRPr="0043008D" w:rsidRDefault="001467E7" w:rsidP="001467E7">
      <w:pPr>
        <w:pStyle w:val="ListParagraph"/>
        <w:rPr>
          <w:rFonts w:ascii="Times New Roman" w:hAnsi="Times New Roman"/>
        </w:rPr>
      </w:pPr>
    </w:p>
    <w:p w:rsidR="001467E7" w:rsidRPr="0043008D" w:rsidRDefault="001467E7" w:rsidP="001467E7">
      <w:pPr>
        <w:pStyle w:val="ListParagraph"/>
        <w:numPr>
          <w:ilvl w:val="0"/>
          <w:numId w:val="6"/>
        </w:numPr>
        <w:spacing w:after="200" w:line="276" w:lineRule="auto"/>
        <w:jc w:val="both"/>
        <w:rPr>
          <w:rFonts w:ascii="Times New Roman" w:hAnsi="Times New Roman"/>
        </w:rPr>
      </w:pPr>
      <w:r w:rsidRPr="0043008D">
        <w:rPr>
          <w:rFonts w:ascii="Times New Roman" w:hAnsi="Times New Roman"/>
        </w:rPr>
        <w:t>BANNING OF BUSINESS DEALINGS</w:t>
      </w:r>
      <w:r w:rsidRPr="0043008D">
        <w:rPr>
          <w:rFonts w:ascii="Times New Roman" w:hAnsi="Times New Roman"/>
        </w:rPr>
        <w:tab/>
      </w:r>
      <w:r w:rsidRPr="0043008D">
        <w:rPr>
          <w:rFonts w:ascii="Times New Roman" w:hAnsi="Times New Roman"/>
        </w:rPr>
        <w:tab/>
      </w:r>
      <w:r w:rsidRPr="0043008D">
        <w:rPr>
          <w:rFonts w:ascii="Times New Roman" w:hAnsi="Times New Roman"/>
        </w:rPr>
        <w:tab/>
      </w:r>
      <w:r w:rsidRPr="0043008D">
        <w:rPr>
          <w:rFonts w:ascii="Times New Roman" w:hAnsi="Times New Roman"/>
        </w:rPr>
        <w:tab/>
      </w:r>
      <w:r w:rsidRPr="0043008D">
        <w:rPr>
          <w:rFonts w:ascii="Times New Roman" w:hAnsi="Times New Roman"/>
        </w:rPr>
        <w:tab/>
        <w:t>13-14</w:t>
      </w:r>
    </w:p>
    <w:p w:rsidR="001467E7" w:rsidRPr="0043008D" w:rsidRDefault="001467E7" w:rsidP="001467E7">
      <w:pPr>
        <w:pStyle w:val="ListParagraph"/>
        <w:jc w:val="both"/>
        <w:rPr>
          <w:rFonts w:ascii="Times New Roman" w:hAnsi="Times New Roman"/>
        </w:rPr>
      </w:pPr>
    </w:p>
    <w:p w:rsidR="001467E7" w:rsidRPr="0043008D" w:rsidRDefault="001467E7" w:rsidP="001467E7">
      <w:pPr>
        <w:pStyle w:val="ListParagraph"/>
        <w:numPr>
          <w:ilvl w:val="0"/>
          <w:numId w:val="6"/>
        </w:numPr>
        <w:spacing w:after="200" w:line="276" w:lineRule="auto"/>
        <w:rPr>
          <w:rFonts w:ascii="Times New Roman" w:hAnsi="Times New Roman"/>
        </w:rPr>
      </w:pPr>
      <w:r w:rsidRPr="0043008D">
        <w:rPr>
          <w:rFonts w:ascii="Times New Roman" w:hAnsi="Times New Roman"/>
        </w:rPr>
        <w:t>REMOVAL FROM LIST OF APPROVED</w:t>
      </w:r>
      <w:r w:rsidRPr="0043008D">
        <w:rPr>
          <w:rFonts w:ascii="Times New Roman" w:hAnsi="Times New Roman"/>
        </w:rPr>
        <w:br/>
        <w:t>AGENCIES –SUPPLIERS/CONTRACTORS</w:t>
      </w:r>
      <w:r w:rsidRPr="0043008D">
        <w:rPr>
          <w:rFonts w:ascii="Times New Roman" w:hAnsi="Times New Roman"/>
        </w:rPr>
        <w:tab/>
      </w:r>
      <w:r w:rsidRPr="0043008D">
        <w:rPr>
          <w:rFonts w:ascii="Times New Roman" w:hAnsi="Times New Roman"/>
        </w:rPr>
        <w:tab/>
      </w:r>
      <w:r w:rsidRPr="0043008D">
        <w:rPr>
          <w:rFonts w:ascii="Times New Roman" w:hAnsi="Times New Roman"/>
        </w:rPr>
        <w:tab/>
      </w:r>
      <w:r w:rsidRPr="0043008D">
        <w:rPr>
          <w:rFonts w:ascii="Times New Roman" w:hAnsi="Times New Roman"/>
        </w:rPr>
        <w:tab/>
        <w:t>15</w:t>
      </w:r>
    </w:p>
    <w:p w:rsidR="001467E7" w:rsidRPr="0043008D" w:rsidRDefault="001467E7" w:rsidP="001467E7">
      <w:pPr>
        <w:pStyle w:val="ListParagraph"/>
        <w:rPr>
          <w:rFonts w:ascii="Times New Roman" w:hAnsi="Times New Roman"/>
        </w:rPr>
      </w:pPr>
    </w:p>
    <w:p w:rsidR="001467E7" w:rsidRPr="0043008D" w:rsidRDefault="001467E7" w:rsidP="001467E7">
      <w:pPr>
        <w:pStyle w:val="ListParagraph"/>
        <w:numPr>
          <w:ilvl w:val="0"/>
          <w:numId w:val="6"/>
        </w:numPr>
        <w:spacing w:after="200" w:line="276" w:lineRule="auto"/>
        <w:rPr>
          <w:rFonts w:ascii="Times New Roman" w:hAnsi="Times New Roman"/>
        </w:rPr>
      </w:pPr>
      <w:r w:rsidRPr="0043008D">
        <w:rPr>
          <w:rFonts w:ascii="Times New Roman" w:hAnsi="Times New Roman"/>
        </w:rPr>
        <w:t>SHOW-CAUSE NOTICE</w:t>
      </w:r>
      <w:r w:rsidRPr="0043008D">
        <w:rPr>
          <w:rFonts w:ascii="Times New Roman" w:hAnsi="Times New Roman"/>
        </w:rPr>
        <w:tab/>
      </w:r>
      <w:r w:rsidRPr="0043008D">
        <w:rPr>
          <w:rFonts w:ascii="Times New Roman" w:hAnsi="Times New Roman"/>
        </w:rPr>
        <w:tab/>
      </w:r>
      <w:r w:rsidRPr="0043008D">
        <w:rPr>
          <w:rFonts w:ascii="Times New Roman" w:hAnsi="Times New Roman"/>
        </w:rPr>
        <w:tab/>
      </w:r>
      <w:r w:rsidRPr="0043008D">
        <w:rPr>
          <w:rFonts w:ascii="Times New Roman" w:hAnsi="Times New Roman"/>
        </w:rPr>
        <w:tab/>
      </w:r>
      <w:r w:rsidRPr="0043008D">
        <w:rPr>
          <w:rFonts w:ascii="Times New Roman" w:hAnsi="Times New Roman"/>
        </w:rPr>
        <w:tab/>
      </w:r>
      <w:r w:rsidRPr="0043008D">
        <w:rPr>
          <w:rFonts w:ascii="Times New Roman" w:hAnsi="Times New Roman"/>
        </w:rPr>
        <w:tab/>
        <w:t>15</w:t>
      </w:r>
    </w:p>
    <w:p w:rsidR="001467E7" w:rsidRPr="0043008D" w:rsidRDefault="001467E7" w:rsidP="001467E7">
      <w:pPr>
        <w:pStyle w:val="ListParagraph"/>
        <w:rPr>
          <w:rFonts w:ascii="Times New Roman" w:hAnsi="Times New Roman"/>
        </w:rPr>
      </w:pPr>
    </w:p>
    <w:p w:rsidR="001467E7" w:rsidRPr="0043008D" w:rsidRDefault="001467E7" w:rsidP="001467E7">
      <w:pPr>
        <w:pStyle w:val="ListParagraph"/>
        <w:numPr>
          <w:ilvl w:val="0"/>
          <w:numId w:val="6"/>
        </w:numPr>
        <w:spacing w:after="200" w:line="276" w:lineRule="auto"/>
        <w:rPr>
          <w:rFonts w:ascii="Times New Roman" w:hAnsi="Times New Roman"/>
        </w:rPr>
      </w:pPr>
      <w:r w:rsidRPr="0043008D">
        <w:rPr>
          <w:rFonts w:ascii="Times New Roman" w:hAnsi="Times New Roman"/>
        </w:rPr>
        <w:t>APPEAL AGAINST THE COMPETENT AUTHORITY</w:t>
      </w:r>
      <w:r w:rsidRPr="0043008D">
        <w:rPr>
          <w:rFonts w:ascii="Times New Roman" w:hAnsi="Times New Roman"/>
        </w:rPr>
        <w:tab/>
      </w:r>
      <w:r w:rsidRPr="0043008D">
        <w:rPr>
          <w:rFonts w:ascii="Times New Roman" w:hAnsi="Times New Roman"/>
        </w:rPr>
        <w:tab/>
        <w:t>15</w:t>
      </w:r>
    </w:p>
    <w:p w:rsidR="001467E7" w:rsidRPr="0043008D" w:rsidRDefault="001467E7" w:rsidP="001467E7">
      <w:pPr>
        <w:pStyle w:val="ListParagraph"/>
        <w:rPr>
          <w:rFonts w:ascii="Times New Roman" w:hAnsi="Times New Roman"/>
        </w:rPr>
      </w:pPr>
    </w:p>
    <w:p w:rsidR="001467E7" w:rsidRPr="0043008D" w:rsidRDefault="001467E7" w:rsidP="001467E7">
      <w:pPr>
        <w:pStyle w:val="ListParagraph"/>
        <w:numPr>
          <w:ilvl w:val="0"/>
          <w:numId w:val="6"/>
        </w:numPr>
        <w:spacing w:after="200" w:line="276" w:lineRule="auto"/>
        <w:rPr>
          <w:rFonts w:ascii="Times New Roman" w:hAnsi="Times New Roman"/>
        </w:rPr>
      </w:pPr>
      <w:r w:rsidRPr="0043008D">
        <w:rPr>
          <w:rFonts w:ascii="Times New Roman" w:hAnsi="Times New Roman"/>
        </w:rPr>
        <w:t>REVIEW OF THE DECEISION BY THE COMPETENT AUTHROTIY 16</w:t>
      </w:r>
    </w:p>
    <w:p w:rsidR="001467E7" w:rsidRPr="0043008D" w:rsidRDefault="001467E7" w:rsidP="001467E7">
      <w:pPr>
        <w:pStyle w:val="ListParagraph"/>
        <w:rPr>
          <w:rFonts w:ascii="Times New Roman" w:hAnsi="Times New Roman"/>
        </w:rPr>
      </w:pPr>
    </w:p>
    <w:p w:rsidR="001467E7" w:rsidRPr="0043008D" w:rsidRDefault="001467E7" w:rsidP="001467E7">
      <w:pPr>
        <w:pStyle w:val="ListParagraph"/>
        <w:numPr>
          <w:ilvl w:val="0"/>
          <w:numId w:val="6"/>
        </w:numPr>
        <w:spacing w:after="200" w:line="276" w:lineRule="auto"/>
        <w:rPr>
          <w:rFonts w:ascii="Times New Roman" w:hAnsi="Times New Roman"/>
        </w:rPr>
      </w:pPr>
      <w:r w:rsidRPr="0043008D">
        <w:rPr>
          <w:rFonts w:ascii="Times New Roman" w:hAnsi="Times New Roman"/>
        </w:rPr>
        <w:t>CIRCUALTION OF NAMES OF AGENCIES WITH WHOM</w:t>
      </w:r>
    </w:p>
    <w:p w:rsidR="001467E7" w:rsidRPr="0043008D" w:rsidRDefault="001467E7" w:rsidP="001467E7">
      <w:pPr>
        <w:pStyle w:val="ListParagraph"/>
        <w:rPr>
          <w:rFonts w:ascii="Times New Roman" w:hAnsi="Times New Roman"/>
        </w:rPr>
      </w:pPr>
      <w:r w:rsidRPr="0043008D">
        <w:rPr>
          <w:rFonts w:ascii="Times New Roman" w:hAnsi="Times New Roman"/>
        </w:rPr>
        <w:t>BUSINESS DEALINGS HAVE BEEN BANNED</w:t>
      </w:r>
      <w:r w:rsidRPr="0043008D">
        <w:rPr>
          <w:rFonts w:ascii="Times New Roman" w:hAnsi="Times New Roman"/>
        </w:rPr>
        <w:tab/>
      </w:r>
      <w:r w:rsidRPr="0043008D">
        <w:rPr>
          <w:rFonts w:ascii="Times New Roman" w:hAnsi="Times New Roman"/>
        </w:rPr>
        <w:tab/>
      </w:r>
      <w:r w:rsidRPr="0043008D">
        <w:rPr>
          <w:rFonts w:ascii="Times New Roman" w:hAnsi="Times New Roman"/>
        </w:rPr>
        <w:tab/>
        <w:t>16</w:t>
      </w:r>
    </w:p>
    <w:p w:rsidR="001467E7" w:rsidRPr="0043008D" w:rsidRDefault="001467E7" w:rsidP="001467E7">
      <w:pPr>
        <w:pStyle w:val="ListParagraph"/>
        <w:rPr>
          <w:rFonts w:ascii="Times New Roman" w:hAnsi="Times New Roman"/>
        </w:rPr>
      </w:pPr>
    </w:p>
    <w:p w:rsidR="001467E7" w:rsidRPr="0043008D" w:rsidRDefault="001467E7" w:rsidP="001467E7">
      <w:pPr>
        <w:autoSpaceDE w:val="0"/>
        <w:autoSpaceDN w:val="0"/>
        <w:adjustRightInd w:val="0"/>
        <w:jc w:val="both"/>
        <w:rPr>
          <w:color w:val="000000"/>
          <w:sz w:val="22"/>
          <w:szCs w:val="22"/>
        </w:rPr>
      </w:pPr>
      <w:r>
        <w:rPr>
          <w:b/>
          <w:bCs/>
          <w:color w:val="000000"/>
          <w:sz w:val="22"/>
          <w:szCs w:val="22"/>
        </w:rPr>
        <w:br w:type="page"/>
      </w:r>
      <w:r w:rsidRPr="0043008D">
        <w:rPr>
          <w:b/>
          <w:bCs/>
          <w:color w:val="000000"/>
          <w:sz w:val="22"/>
          <w:szCs w:val="22"/>
        </w:rPr>
        <w:lastRenderedPageBreak/>
        <w:t xml:space="preserve">1. Introduction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1.1 Central Bank of India, being a Public Sector Enterprise and </w:t>
      </w:r>
      <w:r w:rsidRPr="0043008D">
        <w:rPr>
          <w:i/>
          <w:iCs/>
          <w:color w:val="000000"/>
          <w:sz w:val="22"/>
          <w:szCs w:val="22"/>
        </w:rPr>
        <w:t>‘State’</w:t>
      </w:r>
      <w:r w:rsidRPr="0043008D">
        <w:rPr>
          <w:color w:val="000000"/>
          <w:sz w:val="22"/>
          <w:szCs w:val="22"/>
        </w:rPr>
        <w:t xml:space="preserve">, within the meaning of Article 12 of Constitution of India, has to ensure preservation of rights enshrined in Chapter III of the Constitution. CENTRAL BANK OF INDIA has also to safeguard its commercial interests. CENTRAL BANK OF INDIA deals with </w:t>
      </w:r>
      <w:r w:rsidRPr="0043008D">
        <w:rPr>
          <w:i/>
          <w:iCs/>
          <w:color w:val="000000"/>
          <w:sz w:val="22"/>
          <w:szCs w:val="22"/>
        </w:rPr>
        <w:t>Agencies</w:t>
      </w:r>
      <w:r w:rsidRPr="0043008D">
        <w:rPr>
          <w:color w:val="000000"/>
          <w:sz w:val="22"/>
          <w:szCs w:val="22"/>
        </w:rPr>
        <w:t xml:space="preserve">, who have a very high degree of integrity, commitments and sincerity towards the work undertaken. It is not in the interest of CENTRAL BANK OF INDIA to deal with Agencies who commit deception, fraud or other misconduct in the execution of contracts awarded / orders issued to them. In order to ensure compliance with the constitutional mandate, it is incumbent on CENTRAL BANK OF INDIA to observe principles of natural justice before banning the business dealings with any Agency.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1.2 Since banning of business dealings involves civil consequences for an Agency concerned, it is incumbent that adequate opportunity of hearing is provided and the explanation, if tendered, is considered before passing any order in this regard keeping in view the facts and circumstances of the case.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b/>
          <w:bCs/>
          <w:color w:val="000000"/>
          <w:sz w:val="22"/>
          <w:szCs w:val="22"/>
        </w:rPr>
        <w:t xml:space="preserve">2. Scope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2.1 The General Conditions of Contract (GCC) of CENTRAL BANK OF INDIA generally provide that CENTRAL BANK OF INDIA reserves its rights to remove from list of approved suppliers / contractors or to ban business dealings if any Agency has been found to have committed misconduct and also to suspend business dealings pending investigation. If such provision does not exist in any GCC, the same may be incorporated.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2.2 Similarly, in case of sale of material there is a clause to deal with the Agencies / customers / buyers, who indulge in lifting of material in unauthorized manner. If such a stipulation does not exist in any Sale Order, the same may be incorporated.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2.3 However, absence of such a clause does not in any way restrict the right of Bank (CENTRAL BANK OF INDIA) to take action / decision under these guidelines in appropriate cases.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2.4 The procedure of (</w:t>
      </w:r>
      <w:proofErr w:type="spellStart"/>
      <w:r w:rsidRPr="0043008D">
        <w:rPr>
          <w:color w:val="000000"/>
          <w:sz w:val="22"/>
          <w:szCs w:val="22"/>
        </w:rPr>
        <w:t>i</w:t>
      </w:r>
      <w:proofErr w:type="spellEnd"/>
      <w:r w:rsidRPr="0043008D">
        <w:rPr>
          <w:color w:val="000000"/>
          <w:sz w:val="22"/>
          <w:szCs w:val="22"/>
        </w:rPr>
        <w:t xml:space="preserve">) Removal of Agency from the List of approved suppliers / contractors; (ii) Suspension and (iii) Banning of Business Dealing with Agencies, has been laid down in these guidelines.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2.5 These guidelines apply to all the Units and subsidiaries of CENTRAL BANK OF INDIA.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2.6 It is clarified that these guidelines do not deal with the decision of the Management not to entertain any particular Agency due to its poor / inadequate performance or for any other reason.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2.7 The banning shall be with prospective effect, i.e., future business dealings. </w:t>
      </w:r>
    </w:p>
    <w:p w:rsidR="001467E7" w:rsidRPr="0043008D" w:rsidRDefault="001467E7" w:rsidP="001467E7">
      <w:pPr>
        <w:pageBreakBefore/>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b/>
          <w:bCs/>
          <w:color w:val="000000"/>
          <w:sz w:val="22"/>
          <w:szCs w:val="22"/>
        </w:rPr>
        <w:t xml:space="preserve">3. Definitions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In these Guidelines, unless the context otherwise requires: </w:t>
      </w:r>
    </w:p>
    <w:p w:rsidR="001467E7" w:rsidRPr="0043008D" w:rsidRDefault="001467E7" w:rsidP="001467E7">
      <w:pPr>
        <w:autoSpaceDE w:val="0"/>
        <w:autoSpaceDN w:val="0"/>
        <w:adjustRightInd w:val="0"/>
        <w:jc w:val="both"/>
        <w:rPr>
          <w:color w:val="000000"/>
          <w:sz w:val="22"/>
          <w:szCs w:val="22"/>
        </w:rPr>
      </w:pPr>
      <w:proofErr w:type="spellStart"/>
      <w:r w:rsidRPr="0043008D">
        <w:rPr>
          <w:color w:val="000000"/>
          <w:sz w:val="22"/>
          <w:szCs w:val="22"/>
        </w:rPr>
        <w:t>i</w:t>
      </w:r>
      <w:proofErr w:type="spellEnd"/>
      <w:r w:rsidRPr="0043008D">
        <w:rPr>
          <w:color w:val="000000"/>
          <w:sz w:val="22"/>
          <w:szCs w:val="22"/>
        </w:rPr>
        <w:t xml:space="preserve">) </w:t>
      </w:r>
      <w:r w:rsidRPr="0043008D">
        <w:rPr>
          <w:i/>
          <w:iCs/>
          <w:color w:val="000000"/>
          <w:sz w:val="22"/>
          <w:szCs w:val="22"/>
        </w:rPr>
        <w:t xml:space="preserve">‘Party / Contractor / Supplier / Purchaser / Customer/Bidder/Tenderer’ </w:t>
      </w:r>
      <w:r w:rsidRPr="0043008D">
        <w:rPr>
          <w:color w:val="000000"/>
          <w:sz w:val="22"/>
          <w:szCs w:val="22"/>
        </w:rPr>
        <w:t xml:space="preserve">shall mean and include a public limited Bank or a private limited Bank, a firm whether registered or not, an individual, a cooperative society or an association or a group of persons engaged in any commerce, trade, industry, etc. </w:t>
      </w:r>
      <w:r w:rsidRPr="0043008D">
        <w:rPr>
          <w:i/>
          <w:iCs/>
          <w:color w:val="000000"/>
          <w:sz w:val="22"/>
          <w:szCs w:val="22"/>
        </w:rPr>
        <w:t xml:space="preserve">‘Party / Contractor / Supplier / Purchaser / Customer/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i/>
          <w:iCs/>
          <w:color w:val="000000"/>
          <w:sz w:val="22"/>
          <w:szCs w:val="22"/>
        </w:rPr>
        <w:t xml:space="preserve">Bidder / Tenderer’ </w:t>
      </w:r>
      <w:r w:rsidRPr="0043008D">
        <w:rPr>
          <w:color w:val="000000"/>
          <w:sz w:val="22"/>
          <w:szCs w:val="22"/>
        </w:rPr>
        <w:t xml:space="preserve">in the context of these guidelines is indicated as </w:t>
      </w:r>
    </w:p>
    <w:p w:rsidR="001467E7" w:rsidRPr="0043008D" w:rsidRDefault="001467E7" w:rsidP="001467E7">
      <w:pPr>
        <w:autoSpaceDE w:val="0"/>
        <w:autoSpaceDN w:val="0"/>
        <w:adjustRightInd w:val="0"/>
        <w:jc w:val="both"/>
        <w:rPr>
          <w:color w:val="000000"/>
          <w:sz w:val="22"/>
          <w:szCs w:val="22"/>
        </w:rPr>
      </w:pPr>
      <w:r w:rsidRPr="0043008D">
        <w:rPr>
          <w:i/>
          <w:iCs/>
          <w:color w:val="000000"/>
          <w:sz w:val="22"/>
          <w:szCs w:val="22"/>
        </w:rPr>
        <w:t>‘Agency’</w:t>
      </w:r>
      <w:r w:rsidRPr="0043008D">
        <w:rPr>
          <w:color w:val="000000"/>
          <w:sz w:val="22"/>
          <w:szCs w:val="22"/>
        </w:rPr>
        <w:t xml:space="preserve">. </w:t>
      </w: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ii) </w:t>
      </w:r>
      <w:r w:rsidRPr="0043008D">
        <w:rPr>
          <w:i/>
          <w:iCs/>
          <w:color w:val="000000"/>
          <w:sz w:val="22"/>
          <w:szCs w:val="22"/>
        </w:rPr>
        <w:t xml:space="preserve">‘Inter-connected Agency’ </w:t>
      </w:r>
      <w:r w:rsidRPr="0043008D">
        <w:rPr>
          <w:color w:val="000000"/>
          <w:sz w:val="22"/>
          <w:szCs w:val="22"/>
        </w:rPr>
        <w:t xml:space="preserve">shall mean two or more companies having any of the following features: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a) If one is a subsidiary of the other.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b) If the Director(s), Partner(s), Manager(s) or Representative(s) are common;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spacing w:after="27"/>
        <w:jc w:val="both"/>
        <w:rPr>
          <w:color w:val="000000"/>
          <w:sz w:val="22"/>
          <w:szCs w:val="22"/>
        </w:rPr>
      </w:pPr>
      <w:r w:rsidRPr="0043008D">
        <w:rPr>
          <w:color w:val="000000"/>
          <w:sz w:val="22"/>
          <w:szCs w:val="22"/>
        </w:rPr>
        <w:t xml:space="preserve">c) If management is common; </w:t>
      </w: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d) If one owns or controls the other in any manner;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iii) </w:t>
      </w:r>
      <w:r w:rsidRPr="0043008D">
        <w:rPr>
          <w:i/>
          <w:iCs/>
          <w:color w:val="000000"/>
          <w:sz w:val="22"/>
          <w:szCs w:val="22"/>
        </w:rPr>
        <w:t xml:space="preserve">‘Competent Authority’ </w:t>
      </w:r>
      <w:r w:rsidRPr="0043008D">
        <w:rPr>
          <w:color w:val="000000"/>
          <w:sz w:val="22"/>
          <w:szCs w:val="22"/>
        </w:rPr>
        <w:t xml:space="preserve">and </w:t>
      </w:r>
      <w:r w:rsidRPr="0043008D">
        <w:rPr>
          <w:i/>
          <w:iCs/>
          <w:color w:val="000000"/>
          <w:sz w:val="22"/>
          <w:szCs w:val="22"/>
        </w:rPr>
        <w:t xml:space="preserve">‘Appellate Authority’ </w:t>
      </w:r>
      <w:r w:rsidRPr="0043008D">
        <w:rPr>
          <w:color w:val="000000"/>
          <w:sz w:val="22"/>
          <w:szCs w:val="22"/>
        </w:rPr>
        <w:t xml:space="preserve">shall mean the following: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a) For Bank (entire CENTRAL BANK OF INDIA) wide Banning Executive Director (GAD) shall be the „Competent Authority‟ for the purpose of these guidelines. Chairman &amp; Managing Director, CENTRAL BANK OF INDIA shall be the „Appellate Authority‟ in respect of such cases except banning of business dealings with Foreign Suppliers of imported coal/coke.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b) For banning of business dealings with Foreign Suppliers of imported goods, CENTRAL BANK OF INDIA Executive Directors‟ Committee (EDC) shall be the „Competent Authority‟. The Appeal against the Order passed by EDC, shall lie with Chairman &amp; Managing Director, as First Appellate Authority.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c) In case the foreign supplier is not satisfied by the decision of the First Appellate Authority, it may approach CENTRAL BANK OF INDIA Board as Second Appellate Authority.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d) For Zonal Offices only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Any officer not below the rank of Deputy General Manager appointed or nominated by the Head of Zonal Office shall be the </w:t>
      </w:r>
      <w:r w:rsidRPr="0043008D">
        <w:rPr>
          <w:i/>
          <w:iCs/>
          <w:color w:val="000000"/>
          <w:sz w:val="22"/>
          <w:szCs w:val="22"/>
        </w:rPr>
        <w:t xml:space="preserve">‘Competent Authority’ </w:t>
      </w:r>
      <w:r w:rsidRPr="0043008D">
        <w:rPr>
          <w:color w:val="000000"/>
          <w:sz w:val="22"/>
          <w:szCs w:val="22"/>
        </w:rPr>
        <w:t xml:space="preserve">for the purpose of these guidelines. The Head of the concerned Zonal Office shall be the </w:t>
      </w:r>
      <w:r w:rsidRPr="0043008D">
        <w:rPr>
          <w:i/>
          <w:iCs/>
          <w:color w:val="000000"/>
          <w:sz w:val="22"/>
          <w:szCs w:val="22"/>
        </w:rPr>
        <w:t xml:space="preserve">‘Appellate Authority’ </w:t>
      </w:r>
      <w:r w:rsidRPr="0043008D">
        <w:rPr>
          <w:color w:val="000000"/>
          <w:sz w:val="22"/>
          <w:szCs w:val="22"/>
        </w:rPr>
        <w:t xml:space="preserve">in all such cases. </w:t>
      </w: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e) For Corporate Office only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For procurement of items / award of contracts, to meet the requirement of Corporate Office only, Head of GAD shall be the </w:t>
      </w: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Competent Authority” and concerned Executive Director (GAD) shall be the “Appellate Authority”. </w:t>
      </w: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lastRenderedPageBreak/>
        <w:t xml:space="preserve">e) Chairman &amp; Managing Director, CENTRAL BANK OF INDIA shall have overall power to take </w:t>
      </w:r>
      <w:proofErr w:type="spellStart"/>
      <w:r w:rsidRPr="0043008D">
        <w:rPr>
          <w:color w:val="000000"/>
          <w:sz w:val="22"/>
          <w:szCs w:val="22"/>
        </w:rPr>
        <w:t>suo-moto</w:t>
      </w:r>
      <w:proofErr w:type="spellEnd"/>
      <w:r w:rsidRPr="0043008D">
        <w:rPr>
          <w:color w:val="000000"/>
          <w:sz w:val="22"/>
          <w:szCs w:val="22"/>
        </w:rPr>
        <w:t xml:space="preserve"> action on any information available or received by him and pass such order(s) as he may think appropriate, including modifying the order(s) passed by any authority under these guidelines.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iv) </w:t>
      </w:r>
      <w:r w:rsidRPr="0043008D">
        <w:rPr>
          <w:i/>
          <w:iCs/>
          <w:color w:val="000000"/>
          <w:sz w:val="22"/>
          <w:szCs w:val="22"/>
        </w:rPr>
        <w:t xml:space="preserve">‘Investigating Department’ </w:t>
      </w:r>
      <w:r w:rsidRPr="0043008D">
        <w:rPr>
          <w:color w:val="000000"/>
          <w:sz w:val="22"/>
          <w:szCs w:val="22"/>
        </w:rPr>
        <w:t xml:space="preserve">shall mean any Department or Unit investigating into the conduct of the Agency and shall include the Vigilance Department, Central Bureau of Investigation, the State Police or any other department set up by the Central or State Government having powers to investigate.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v) </w:t>
      </w:r>
      <w:r w:rsidRPr="0043008D">
        <w:rPr>
          <w:i/>
          <w:iCs/>
          <w:color w:val="000000"/>
          <w:sz w:val="22"/>
          <w:szCs w:val="22"/>
        </w:rPr>
        <w:t xml:space="preserve">‘List of approved Agencies - Parties / Contractors / Suppliers / Purchasers / Customers / Bidders / Tenderers </w:t>
      </w:r>
      <w:r w:rsidRPr="0043008D">
        <w:rPr>
          <w:color w:val="000000"/>
          <w:sz w:val="22"/>
          <w:szCs w:val="22"/>
        </w:rPr>
        <w:t xml:space="preserve">shall mean and include list of approved / registered Agencies - </w:t>
      </w:r>
      <w:r w:rsidRPr="0043008D">
        <w:rPr>
          <w:i/>
          <w:iCs/>
          <w:color w:val="000000"/>
          <w:sz w:val="22"/>
          <w:szCs w:val="22"/>
        </w:rPr>
        <w:t xml:space="preserve">Parties/ Contractors / Suppliers / Purchasers / Customers / Bidders / Tenderers, </w:t>
      </w:r>
      <w:r w:rsidRPr="0043008D">
        <w:rPr>
          <w:color w:val="000000"/>
          <w:sz w:val="22"/>
          <w:szCs w:val="22"/>
        </w:rPr>
        <w:t xml:space="preserve">etc.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b/>
          <w:bCs/>
          <w:color w:val="000000"/>
          <w:sz w:val="22"/>
          <w:szCs w:val="22"/>
        </w:rPr>
        <w:t xml:space="preserve">4. Initiation of Banning / Suspension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Action for banning / suspension business dealings with any Agency should be initiated by the department having business dealings with them after noticing the irregularities or misconduct on their part. Besides the concerned department, Vigilance Department of each Unit /Corporate Vigilance may also be competent to advise such action. </w:t>
      </w:r>
    </w:p>
    <w:p w:rsidR="001467E7" w:rsidRPr="0043008D" w:rsidRDefault="001467E7" w:rsidP="001467E7">
      <w:pPr>
        <w:autoSpaceDE w:val="0"/>
        <w:autoSpaceDN w:val="0"/>
        <w:adjustRightInd w:val="0"/>
        <w:jc w:val="both"/>
        <w:rPr>
          <w:color w:val="000000"/>
          <w:sz w:val="22"/>
          <w:szCs w:val="22"/>
        </w:rPr>
      </w:pPr>
      <w:r w:rsidRPr="0043008D">
        <w:rPr>
          <w:b/>
          <w:bCs/>
          <w:color w:val="000000"/>
          <w:sz w:val="22"/>
          <w:szCs w:val="22"/>
        </w:rPr>
        <w:t xml:space="preserve">5. Suspension of Business Dealings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5.1 If the conduct of any Agency dealing with CENTRAL BANK OF INDIA is under investigation by any department (except Foreign Suppliers of imported goods), the Competent Authority may consider whether the allegations under investigation are of a serious nature and whether pending investigation, it would be advisable to continue business dealing with the Agency. If the Competent Authority, after consideration of the matter including the recommendation of the Investigating Department, if any, decides that it would not be in the interest to continue business dealings pending investigation, it may suspend business dealings with the Agency. The order to this effect may indicate a brief of the charges under investigation. If it is decided that inter-connected Agencies would also come within the ambit of the order of suspension, the same should be specifically stated in the order. The order of suspension would operate for a period not more than six months and may be communicated to the Agency as also to the Investigating Department. The Investigating Department may ensure that their investigation is completed and whole process of final order is over within such period.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5.2 The order of suspension shall be communicated to all Departmental Heads within the Plants / Units. During the period of suspension, no business dealing may be held with the Agency.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5.3 As far as possible, the existing contract(s) with the Agency may continue unless the Competent Authority, having regard to the circumstances of the case, decides otherwise.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5.4 If the gravity of the misconduct under investigation is very serious and it would not be in the interest of CENTRAL BANK OF INDIA, as a whole, to deal with such an Agency pending investigation, the Competent Authority may send his recommendation to ED (GAD), CENTRAL BANK OF INDIA Corporate Office </w:t>
      </w:r>
      <w:proofErr w:type="spellStart"/>
      <w:r w:rsidRPr="0043008D">
        <w:rPr>
          <w:color w:val="000000"/>
          <w:sz w:val="22"/>
          <w:szCs w:val="22"/>
        </w:rPr>
        <w:t>alongwith</w:t>
      </w:r>
      <w:proofErr w:type="spellEnd"/>
      <w:r w:rsidRPr="0043008D">
        <w:rPr>
          <w:color w:val="000000"/>
          <w:sz w:val="22"/>
          <w:szCs w:val="22"/>
        </w:rPr>
        <w:t xml:space="preserve"> the material available. If Corporate Office considers that depending upon the gravity of the misconduct, it would not be desirable for all the Units and Subsidiaries of CENTRAL BANK OF INDIA to have any dealings with the Agency concerned, an order suspending business dealings may be issued to all the Units by the Competent Authority of </w:t>
      </w:r>
      <w:r w:rsidRPr="0043008D">
        <w:rPr>
          <w:color w:val="000000"/>
          <w:sz w:val="22"/>
          <w:szCs w:val="22"/>
        </w:rPr>
        <w:lastRenderedPageBreak/>
        <w:t xml:space="preserve">the Corporate Office, copy of which may be endorsed to the Agency concerned. Such an order would operate for a period of six months from the date of issue.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5.5 For suspension of business dealings with Foreign Suppliers of imported goods, f</w:t>
      </w:r>
      <w:r>
        <w:rPr>
          <w:color w:val="000000"/>
          <w:sz w:val="22"/>
          <w:szCs w:val="22"/>
        </w:rPr>
        <w:t>ollowing shall be the procedure</w:t>
      </w:r>
      <w:r w:rsidRPr="0043008D">
        <w:rPr>
          <w:color w:val="000000"/>
          <w:sz w:val="22"/>
          <w:szCs w:val="22"/>
        </w:rPr>
        <w:t xml:space="preserve">:-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proofErr w:type="spellStart"/>
      <w:r w:rsidRPr="0043008D">
        <w:rPr>
          <w:color w:val="000000"/>
          <w:sz w:val="22"/>
          <w:szCs w:val="22"/>
        </w:rPr>
        <w:t>i</w:t>
      </w:r>
      <w:proofErr w:type="spellEnd"/>
      <w:r w:rsidRPr="0043008D">
        <w:rPr>
          <w:color w:val="000000"/>
          <w:sz w:val="22"/>
          <w:szCs w:val="22"/>
        </w:rPr>
        <w:t xml:space="preserve">) Suspension of the foreign suppliers shall apply throughout the Bank including Subsidiaries.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ii) Based on the complaint forwarded by ED (GAD) or received directly by Corporate Vigilance, if gravity of the misconduct under investigation is found serious and it is felt that it would not be in the interest of CENTRAL BANK OF INDIA to continue to deal with such agency, pending investigation, Corporate Vigilance may send such recommendation on the matter to Executive Director, GAD to place it before Executive Directors Committee</w:t>
      </w:r>
      <w:r>
        <w:rPr>
          <w:color w:val="000000"/>
          <w:sz w:val="22"/>
          <w:szCs w:val="22"/>
        </w:rPr>
        <w:t xml:space="preserve"> </w:t>
      </w:r>
      <w:r w:rsidRPr="0043008D">
        <w:rPr>
          <w:color w:val="000000"/>
          <w:sz w:val="22"/>
          <w:szCs w:val="22"/>
        </w:rPr>
        <w:t xml:space="preserve">(EDC) with ED (GAD) as Convener of the Committee. The committee shall expeditiously examine the report, give its comments/recommendations within twenty one days of receipt of the reference by ED, GAD.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iii) If EDC opines that it is a fit case for suspension, EDC may pass necessary orders which shall be communicated to the foreign supplier by ED, GAD.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5.6 If the Agency concerned asks for detailed reasons of suspension, the Agency may be informed that its conduct is under investigation. It is not necessary to enter into correspondence or argument with the Agency at this stage.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5.7 It is not necessary to give any show-cause notice or personal hearing to the Agency before issuing the order of suspension. However, if investigations</w:t>
      </w:r>
      <w:r>
        <w:rPr>
          <w:color w:val="000000"/>
          <w:sz w:val="22"/>
          <w:szCs w:val="22"/>
        </w:rPr>
        <w:t xml:space="preserve"> are not complete in six months’</w:t>
      </w:r>
      <w:r w:rsidRPr="0043008D">
        <w:rPr>
          <w:color w:val="000000"/>
          <w:sz w:val="22"/>
          <w:szCs w:val="22"/>
        </w:rPr>
        <w:t xml:space="preserve"> time, the Competent Authority may extend the period of suspension by another three months, during which period the investigations must be completed. </w:t>
      </w:r>
    </w:p>
    <w:p w:rsidR="001467E7" w:rsidRPr="0043008D" w:rsidRDefault="001467E7" w:rsidP="001467E7">
      <w:pPr>
        <w:autoSpaceDE w:val="0"/>
        <w:autoSpaceDN w:val="0"/>
        <w:adjustRightInd w:val="0"/>
        <w:jc w:val="both"/>
        <w:rPr>
          <w:b/>
          <w:bCs/>
          <w:color w:val="000000"/>
          <w:sz w:val="22"/>
          <w:szCs w:val="22"/>
        </w:rPr>
      </w:pPr>
      <w:r w:rsidRPr="0043008D">
        <w:rPr>
          <w:b/>
          <w:bCs/>
          <w:color w:val="000000"/>
          <w:sz w:val="22"/>
          <w:szCs w:val="22"/>
        </w:rPr>
        <w:t xml:space="preserve">6. Ground on which Banning of Business Dealings can be initiated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6.1 If the security consideration, including questions of loyalty of the Agency to the State, so warrants;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6.2 If the Director / Owner of the Agency, proprietor or partner of the firm, is convicted by a Court of Law for offences involving moral turpitude in relation to its business dealings with the Government or any other public sector enterprises or CENTRAL BANK OF INDIA, during the last five years;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6.3 If there is strong justification for believing that the Directors, Proprietors, Partners, owner of the Agency have been guilty of malpractices such as bribery, corruption, fraud, substitution of tenders, interpolations, </w:t>
      </w:r>
      <w:proofErr w:type="spellStart"/>
      <w:r w:rsidRPr="0043008D">
        <w:rPr>
          <w:color w:val="000000"/>
          <w:sz w:val="22"/>
          <w:szCs w:val="22"/>
        </w:rPr>
        <w:t>etc</w:t>
      </w:r>
      <w:proofErr w:type="spellEnd"/>
      <w:r w:rsidRPr="0043008D">
        <w:rPr>
          <w:color w:val="000000"/>
          <w:sz w:val="22"/>
          <w:szCs w:val="22"/>
        </w:rPr>
        <w:t xml:space="preserve">;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6.4 If the Agency continuously refuses to return / refund the dues of CENTRAL BANK OF INDIA without showing adequate reason and this is not due to any reasonable dispute which would attract proceedings in arbitration or Court of Law;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6.5 If the Agency employs a public servant dismissed / removed or employs a person convicted for an offence involving corruption or abetment of such offence;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lastRenderedPageBreak/>
        <w:t xml:space="preserve">6.6 If business dealings with the Agency have been banned by the Govt. or any other public sector enterprise;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6.7 If the Agency has resorted to Corrupt, fraudulent practices including misrepresentation of facts and / or fudging /forging /tampering of documents;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6.8 If the Agency uses intimidation / threatening or brings undue outside pressure on the Bank (CENTRAL BANK OF INDIA) or its official in acceptance / performances of the job under the contract;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6.9 If the Agency indulges in repeated and / or deliberate use of delay tactics in complying with contractual stipulations;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6.10 Wilful indulgence by the Agency in supplying sub-standard material irrespective of whether pre-dispatch inspection was carried out by Bank (CENTRAL BANK OF INDIA) or not;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6.11 Based on the findings of the investigation report of CBI / Police </w:t>
      </w:r>
      <w:r>
        <w:rPr>
          <w:color w:val="000000"/>
          <w:sz w:val="22"/>
          <w:szCs w:val="22"/>
        </w:rPr>
        <w:t xml:space="preserve">against the Agency for </w:t>
      </w:r>
      <w:proofErr w:type="spellStart"/>
      <w:r>
        <w:rPr>
          <w:color w:val="000000"/>
          <w:sz w:val="22"/>
          <w:szCs w:val="22"/>
        </w:rPr>
        <w:t>malafide</w:t>
      </w:r>
      <w:proofErr w:type="spellEnd"/>
      <w:r w:rsidRPr="0043008D">
        <w:rPr>
          <w:color w:val="000000"/>
          <w:sz w:val="22"/>
          <w:szCs w:val="22"/>
        </w:rPr>
        <w:t xml:space="preserve">/ unlawful acts or improper conduct on his part in matters relating to the Bank (CENTRAL BANK OF INDIA) or even otherwise;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6.12 Established litigant nature of the Agency to derive undue benefit;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6.13 Continued poor performance of the Agency in several contracts;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6.14 If the Agency misuses the premises or facilities of the Bank (CENTRAL BANK OF INDIA), forcefully occupi</w:t>
      </w:r>
      <w:r>
        <w:rPr>
          <w:color w:val="000000"/>
          <w:sz w:val="22"/>
          <w:szCs w:val="22"/>
        </w:rPr>
        <w:t>es, tampers or damages the Bank’</w:t>
      </w:r>
      <w:r w:rsidRPr="0043008D">
        <w:rPr>
          <w:color w:val="000000"/>
          <w:sz w:val="22"/>
          <w:szCs w:val="22"/>
        </w:rPr>
        <w:t xml:space="preserve">s properties including land, water resources, forests / trees, etc.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 (Note: The examples given above are only illustrative and not exhaustive. The Competent Authority may decide to ban business dealing for any good and sufficient reason).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b/>
          <w:bCs/>
          <w:color w:val="000000"/>
          <w:sz w:val="22"/>
          <w:szCs w:val="22"/>
        </w:rPr>
        <w:t xml:space="preserve">7 Banning of Business Dealings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7.1 A decision to ban business dealings with any Agency should apply throughout the Bank including Subsidiaries.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7.2 There will be a Standing Committee in each Zone to be appointed by Head of Zonal Office for processing the cases of “Banning of Business Dealings” except for banning of business dealings with foreign suppliers of goods. However, for procurement of items / award of contracts, to meet the requirement of Corporate Office only, the committee shall be consisting of General Manager / Dy. General Manager each from Operations, Law &amp; GAD. Member from GAD shall be the convener of the committee. The functions of the committee shall, inter-alia include: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proofErr w:type="spellStart"/>
      <w:r w:rsidRPr="0043008D">
        <w:rPr>
          <w:color w:val="000000"/>
          <w:sz w:val="22"/>
          <w:szCs w:val="22"/>
        </w:rPr>
        <w:t>i</w:t>
      </w:r>
      <w:proofErr w:type="spellEnd"/>
      <w:r w:rsidRPr="0043008D">
        <w:rPr>
          <w:color w:val="000000"/>
          <w:sz w:val="22"/>
          <w:szCs w:val="22"/>
        </w:rPr>
        <w:t xml:space="preserve">) To study the report of the Investigating Agency and decide if a prima-facie case for Bank-wide / Local unit wise banning exists, if not, send back the case to the Competent Authority.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ii) To recommend for issue of show-cause notice to the Agency by the concerned department.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lastRenderedPageBreak/>
        <w:t xml:space="preserve">iii) To examine the reply to show-cause notice and call the Agency for personal hearing, if required.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iv) To submit final recommendation to the Competent Authority for banning or otherwise.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7.3 If Bank wide banning is contemplated by the banning Committee of any Zone, the proposal should be sent by the committee to ED (GAD) through the Head of the Zonal Office setting out the facts of the case and the justification of the action proposed along with all the relevant papers and documents. GAD shall get feedback about that agency from all other Zones and based on this feedback, a prima-facie decision for banning / or otherwise shall be taken by the Competent Authority. At this stage if it is felt by the Competent Authority that there is no sufficient ground for Bank wide banning, then the case shall be sent back to the Head of Zonal Office for further action at the Zone level. If the prima-facie decision for Bank-wide banning has been taken, ED (GAD) shall issue a show-cause notice to the agency conveying why it should not be banned throughout CENTRAL BANK OF INDIA. </w:t>
      </w: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After considering the reply of the Agency and other circumstances and facts of the case, ED (GAD) will submit the case to the Competent Authority to take a final decision for Bank-wide banning or otherwise.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7.4 If the Competent Authority is prima-facie of view that action for banning business dealings with the Agency is called for, a show-cause notice may be issued to the Agency as per paragraph 9.1 and an enquiry held accordingly.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7.5 Procedure for Banning of Business Dealings with Foreign Suppliers of imported goods.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spacing w:after="37"/>
        <w:jc w:val="both"/>
        <w:rPr>
          <w:color w:val="000000"/>
          <w:sz w:val="22"/>
          <w:szCs w:val="22"/>
        </w:rPr>
      </w:pPr>
      <w:r w:rsidRPr="0043008D">
        <w:rPr>
          <w:color w:val="000000"/>
          <w:sz w:val="22"/>
          <w:szCs w:val="22"/>
        </w:rPr>
        <w:t> Banning of the agencies shall apply throughout the Bank including Subsidiaries</w:t>
      </w:r>
      <w:r w:rsidRPr="0043008D">
        <w:rPr>
          <w:b/>
          <w:bCs/>
          <w:i/>
          <w:iCs/>
          <w:color w:val="000000"/>
          <w:sz w:val="22"/>
          <w:szCs w:val="22"/>
        </w:rPr>
        <w:t xml:space="preserve">. </w:t>
      </w:r>
    </w:p>
    <w:p w:rsidR="001467E7" w:rsidRPr="0043008D" w:rsidRDefault="001467E7" w:rsidP="001467E7">
      <w:pPr>
        <w:autoSpaceDE w:val="0"/>
        <w:autoSpaceDN w:val="0"/>
        <w:adjustRightInd w:val="0"/>
        <w:spacing w:after="37"/>
        <w:jc w:val="both"/>
        <w:rPr>
          <w:color w:val="000000"/>
          <w:sz w:val="22"/>
          <w:szCs w:val="22"/>
        </w:rPr>
      </w:pPr>
      <w:r w:rsidRPr="0043008D">
        <w:rPr>
          <w:color w:val="000000"/>
          <w:sz w:val="22"/>
          <w:szCs w:val="22"/>
        </w:rPr>
        <w:t xml:space="preserve"> Based on the complaint forwarded by ED (GAD) or received directly by Corporate Vigilance, if gravity of the misconduct under investigation is found serious and it is felt that it would not be in the interest of CENTRAL BANK OF INDIA to continue to deal with such agency, pending investigation, Corporate Vigilance may send such recommendation on the matter to Executive Director, GAD to place it before Executive Directors‟ Committee (EDC) with ED (GAD) as </w:t>
      </w:r>
      <w:r>
        <w:rPr>
          <w:color w:val="000000"/>
          <w:sz w:val="22"/>
          <w:szCs w:val="22"/>
        </w:rPr>
        <w:t>C</w:t>
      </w:r>
      <w:r w:rsidRPr="0043008D">
        <w:rPr>
          <w:color w:val="000000"/>
          <w:sz w:val="22"/>
          <w:szCs w:val="22"/>
        </w:rPr>
        <w:t xml:space="preserve">onvener of the Committee. </w:t>
      </w:r>
    </w:p>
    <w:p w:rsidR="001467E7" w:rsidRPr="0043008D" w:rsidRDefault="001467E7" w:rsidP="001467E7">
      <w:pPr>
        <w:autoSpaceDE w:val="0"/>
        <w:autoSpaceDN w:val="0"/>
        <w:adjustRightInd w:val="0"/>
        <w:spacing w:after="37"/>
        <w:jc w:val="both"/>
        <w:rPr>
          <w:color w:val="000000"/>
          <w:sz w:val="22"/>
          <w:szCs w:val="22"/>
        </w:rPr>
      </w:pPr>
      <w:r w:rsidRPr="0043008D">
        <w:rPr>
          <w:color w:val="000000"/>
          <w:sz w:val="22"/>
          <w:szCs w:val="22"/>
        </w:rPr>
        <w:t> The committee shall expeditio</w:t>
      </w:r>
      <w:r>
        <w:rPr>
          <w:color w:val="000000"/>
          <w:sz w:val="22"/>
          <w:szCs w:val="22"/>
        </w:rPr>
        <w:t>usly examine the report</w:t>
      </w:r>
      <w:r w:rsidRPr="0043008D">
        <w:rPr>
          <w:color w:val="000000"/>
          <w:sz w:val="22"/>
          <w:szCs w:val="22"/>
        </w:rPr>
        <w:t xml:space="preserve">, give its comments/recommendations within twenty one days of receipt of the reference by ED, GAD. </w:t>
      </w:r>
    </w:p>
    <w:p w:rsidR="001467E7" w:rsidRPr="0043008D" w:rsidRDefault="001467E7" w:rsidP="001467E7">
      <w:pPr>
        <w:autoSpaceDE w:val="0"/>
        <w:autoSpaceDN w:val="0"/>
        <w:adjustRightInd w:val="0"/>
        <w:spacing w:after="37"/>
        <w:jc w:val="both"/>
        <w:rPr>
          <w:color w:val="000000"/>
          <w:sz w:val="22"/>
          <w:szCs w:val="22"/>
        </w:rPr>
      </w:pPr>
      <w:r w:rsidRPr="0043008D">
        <w:rPr>
          <w:color w:val="000000"/>
          <w:sz w:val="22"/>
          <w:szCs w:val="22"/>
        </w:rPr>
        <w:t> If EDC opines that it is a fit case for initiating banning action, it will direct ED (GAD) to issue show-cause notice to the agency for replying within a reasonable period</w:t>
      </w:r>
      <w:r w:rsidRPr="0043008D">
        <w:rPr>
          <w:b/>
          <w:bCs/>
          <w:i/>
          <w:iCs/>
          <w:color w:val="000000"/>
          <w:sz w:val="22"/>
          <w:szCs w:val="22"/>
        </w:rPr>
        <w:t xml:space="preserve">. </w:t>
      </w:r>
    </w:p>
    <w:p w:rsidR="001467E7" w:rsidRPr="0043008D" w:rsidRDefault="001467E7" w:rsidP="001467E7">
      <w:pPr>
        <w:autoSpaceDE w:val="0"/>
        <w:autoSpaceDN w:val="0"/>
        <w:adjustRightInd w:val="0"/>
        <w:spacing w:after="37"/>
        <w:jc w:val="both"/>
        <w:rPr>
          <w:color w:val="000000"/>
          <w:sz w:val="22"/>
          <w:szCs w:val="22"/>
        </w:rPr>
      </w:pPr>
      <w:r w:rsidRPr="0043008D">
        <w:rPr>
          <w:color w:val="000000"/>
          <w:sz w:val="22"/>
          <w:szCs w:val="22"/>
        </w:rPr>
        <w:t xml:space="preserve"> On receipt of the reply or on expiry of the stipulated period, the case shall be submitted by ED (GAD) to EDC for consideration &amp; decision. </w:t>
      </w: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 The decision of the EDC shall be communicated to the agency by ED (GAD).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pageBreakBefore/>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b/>
          <w:bCs/>
          <w:color w:val="000000"/>
          <w:sz w:val="22"/>
          <w:szCs w:val="22"/>
        </w:rPr>
        <w:t xml:space="preserve">8 Removal from List of Approved Agencies - Suppliers / Contractors, etc.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8.1 If the Competent Authority decides that the charge against the Agency is of a minor nature, it may issue a show-cause notice as to why the name of the Agency should not be removed from the list of approved Agencies - Suppliers / Contractors, etc.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8.2 The effect of such an order would be that the Agency would not be disqualified from competing in Open Tender Enquiries but Limited Tender Enquiry (LTE) may not be given to the Agency concerned.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8.3 Past performance of the Agency may be taken into account while processing for approval of the Competent Authority for awarding the contract.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b/>
          <w:bCs/>
          <w:color w:val="000000"/>
          <w:sz w:val="22"/>
          <w:szCs w:val="22"/>
        </w:rPr>
        <w:t xml:space="preserve">9 Show-cause Notice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9.1 In case where the Competent Authority decides that action against an Agency is called for, a show-cause notice has to be issued to the Agency. Statement containing the imputation of misconduct or misbehavior may be appended to the show-cause notice and the Agency should be asked to submit within 15 days a written statement in its defense.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9.2 If the Agency requests for inspection of any relevant document in possession of CENTRAL BANK OF INDIA, necessary facility for inspection of documents may be provided.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9.3 The Competent Authority may consider and pass an appropriate speaking order: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a) For exonerating the Agency if the charges are not established;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b) For removing the Agency from the list of approved Suppliers / Contactors, etc.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c) For banning the business dealing with the Agency.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9.4 If it decides to ban business dealings, the period for which the ban would be operative may be mentioned. The order may also mention that the ban would extend to the interconnected Agencies of the Agency.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b/>
          <w:bCs/>
          <w:color w:val="000000"/>
          <w:sz w:val="22"/>
          <w:szCs w:val="22"/>
        </w:rPr>
        <w:t xml:space="preserve">10 Appeal against the Decision of the Competent Authority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10.1 The Agency may file an appeal against the order of the Competent Authority banning business dealing, etc. The appeal shall lie to Appellate Authority. Such an appeal shall be preferred within one month from the date of receipt of the order banning business dealing, etc.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10.2 Appellate Authority would consider the appeal and pass appropriate order which shall be communicated to the Agency as well as the Competent Authority.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b/>
          <w:bCs/>
          <w:color w:val="000000"/>
          <w:sz w:val="22"/>
          <w:szCs w:val="22"/>
        </w:rPr>
        <w:t xml:space="preserve">11 Review of the Decision by the Competent Authority </w:t>
      </w: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Any petition / application filed by the Agency concerning the review of the banning order passed originally by Competent Authority under the existing guidelines either before or after filing of </w:t>
      </w:r>
      <w:r w:rsidRPr="0043008D">
        <w:rPr>
          <w:color w:val="000000"/>
          <w:sz w:val="22"/>
          <w:szCs w:val="22"/>
        </w:rPr>
        <w:lastRenderedPageBreak/>
        <w:t xml:space="preserve">appeal before the Appellate Authority or after disposal of appeal by the Appellate Authority, the review petition can be decided by the Competent Authority upon disclosure of new facts / circumstances or subsequent development necessitating such review. The Competent Authority may refer the same petition to the Standing Committee/EDC as the case may be for examination and recommendation. </w:t>
      </w:r>
    </w:p>
    <w:p w:rsidR="001467E7" w:rsidRPr="0043008D" w:rsidRDefault="001467E7" w:rsidP="001467E7">
      <w:pPr>
        <w:autoSpaceDE w:val="0"/>
        <w:autoSpaceDN w:val="0"/>
        <w:adjustRightInd w:val="0"/>
        <w:jc w:val="both"/>
        <w:rPr>
          <w:color w:val="000000"/>
          <w:sz w:val="22"/>
          <w:szCs w:val="22"/>
        </w:rPr>
      </w:pPr>
      <w:r w:rsidRPr="0043008D">
        <w:rPr>
          <w:b/>
          <w:bCs/>
          <w:color w:val="000000"/>
          <w:sz w:val="22"/>
          <w:szCs w:val="22"/>
        </w:rPr>
        <w:t xml:space="preserve">12 Circulation of the names of Agencies with whom Business Dealings have been banned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12.1 Depending upon the gravity of misconduct established, the Competent Authority of the Corporate Office may circulate the names of Agency with whom business dealings have been banned, to the Government Departments, other Public Sector Enterprises, etc. for such action as they deem appropriate.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12.2 If Government Departments or a Public Sector Enterprise request for more information about the Agency with whom business dealings have been banned, a copy of the report of Inquiring Authority together with a copy of the order of the Competent Authority / Appellate Authority may be supplied.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12.3 If business dealings with any Agency has been banned by the Central or State Government or any other Public Sector Enterprise, CENTRAL BANK OF INDIA may, without any further enquiry or investigation, issue an order banning business dealing with the Agency and its inter-connected Agencies. </w:t>
      </w:r>
    </w:p>
    <w:p w:rsidR="001467E7" w:rsidRPr="0043008D" w:rsidRDefault="001467E7" w:rsidP="001467E7">
      <w:pPr>
        <w:autoSpaceDE w:val="0"/>
        <w:autoSpaceDN w:val="0"/>
        <w:adjustRightInd w:val="0"/>
        <w:jc w:val="both"/>
        <w:rPr>
          <w:color w:val="000000"/>
          <w:sz w:val="22"/>
          <w:szCs w:val="22"/>
        </w:rPr>
      </w:pPr>
    </w:p>
    <w:p w:rsidR="001467E7" w:rsidRPr="0043008D" w:rsidRDefault="001467E7" w:rsidP="001467E7">
      <w:pPr>
        <w:autoSpaceDE w:val="0"/>
        <w:autoSpaceDN w:val="0"/>
        <w:adjustRightInd w:val="0"/>
        <w:jc w:val="both"/>
        <w:rPr>
          <w:color w:val="000000"/>
          <w:sz w:val="22"/>
          <w:szCs w:val="22"/>
        </w:rPr>
      </w:pPr>
      <w:r w:rsidRPr="0043008D">
        <w:rPr>
          <w:color w:val="000000"/>
          <w:sz w:val="22"/>
          <w:szCs w:val="22"/>
        </w:rPr>
        <w:t xml:space="preserve">12.4 Based on the above, Zonal Offices may formulate their own procedure for implementation of the Guidelines and same be made a part of the tender documents. </w:t>
      </w:r>
    </w:p>
    <w:p w:rsidR="001467E7" w:rsidRPr="0043008D" w:rsidRDefault="001467E7" w:rsidP="001467E7">
      <w:pPr>
        <w:rPr>
          <w:sz w:val="22"/>
          <w:szCs w:val="22"/>
        </w:rPr>
      </w:pPr>
    </w:p>
    <w:p w:rsidR="00E25B70" w:rsidRPr="001467E7" w:rsidRDefault="00E25B70" w:rsidP="001467E7"/>
    <w:sectPr w:rsidR="00E25B70" w:rsidRPr="001467E7">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FFD" w:rsidRDefault="00883FFD">
      <w:r>
        <w:separator/>
      </w:r>
    </w:p>
  </w:endnote>
  <w:endnote w:type="continuationSeparator" w:id="0">
    <w:p w:rsidR="00883FFD" w:rsidRDefault="00883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C5D" w:rsidRPr="00CC035E" w:rsidRDefault="00CD4C5D">
    <w:pPr>
      <w:pStyle w:val="Footer"/>
      <w:rPr>
        <w:sz w:val="16"/>
        <w:szCs w:val="16"/>
      </w:rPr>
    </w:pPr>
    <w:r w:rsidRPr="00C93A8D">
      <w:rPr>
        <w:rFonts w:ascii="Verdana" w:hAnsi="Verdana"/>
        <w:sz w:val="20"/>
        <w:szCs w:val="20"/>
      </w:rPr>
      <w:tab/>
    </w:r>
    <w:r w:rsidRPr="00CC035E">
      <w:rPr>
        <w:sz w:val="16"/>
        <w:szCs w:val="16"/>
      </w:rPr>
      <w:t xml:space="preserve">Annexure </w:t>
    </w:r>
    <w:r w:rsidR="00B54F81">
      <w:rPr>
        <w:sz w:val="16"/>
        <w:szCs w:val="16"/>
      </w:rPr>
      <w:t>7</w:t>
    </w:r>
    <w:r w:rsidR="00531D1F" w:rsidRPr="00CC035E">
      <w:rPr>
        <w:sz w:val="16"/>
        <w:szCs w:val="16"/>
      </w:rPr>
      <w:t xml:space="preserve"> – </w:t>
    </w:r>
    <w:r w:rsidR="001467E7">
      <w:rPr>
        <w:sz w:val="16"/>
        <w:szCs w:val="16"/>
      </w:rPr>
      <w:t>Integrity Pact</w:t>
    </w:r>
    <w:r w:rsidRPr="00CC035E">
      <w:rPr>
        <w:sz w:val="16"/>
        <w:szCs w:val="16"/>
      </w:rPr>
      <w:tab/>
    </w:r>
    <w:r w:rsidR="00C93A8D" w:rsidRPr="00CC035E">
      <w:rPr>
        <w:sz w:val="16"/>
        <w:szCs w:val="16"/>
      </w:rPr>
      <w:t xml:space="preserve">Page </w:t>
    </w:r>
    <w:r w:rsidRPr="00CC035E">
      <w:rPr>
        <w:rStyle w:val="PageNumber"/>
        <w:sz w:val="16"/>
        <w:szCs w:val="16"/>
      </w:rPr>
      <w:fldChar w:fldCharType="begin"/>
    </w:r>
    <w:r w:rsidRPr="00CC035E">
      <w:rPr>
        <w:rStyle w:val="PageNumber"/>
        <w:sz w:val="16"/>
        <w:szCs w:val="16"/>
      </w:rPr>
      <w:instrText xml:space="preserve"> PAGE </w:instrText>
    </w:r>
    <w:r w:rsidRPr="00CC035E">
      <w:rPr>
        <w:rStyle w:val="PageNumber"/>
        <w:sz w:val="16"/>
        <w:szCs w:val="16"/>
      </w:rPr>
      <w:fldChar w:fldCharType="separate"/>
    </w:r>
    <w:r w:rsidR="00536B94">
      <w:rPr>
        <w:rStyle w:val="PageNumber"/>
        <w:noProof/>
        <w:sz w:val="16"/>
        <w:szCs w:val="16"/>
      </w:rPr>
      <w:t>1</w:t>
    </w:r>
    <w:r w:rsidRPr="00CC035E">
      <w:rPr>
        <w:rStyle w:val="PageNumber"/>
        <w:sz w:val="16"/>
        <w:szCs w:val="16"/>
      </w:rPr>
      <w:fldChar w:fldCharType="end"/>
    </w:r>
    <w:r w:rsidR="00C93A8D" w:rsidRPr="00CC035E">
      <w:rPr>
        <w:rStyle w:val="PageNumber"/>
        <w:sz w:val="16"/>
        <w:szCs w:val="16"/>
      </w:rPr>
      <w:t xml:space="preserve"> of </w:t>
    </w:r>
    <w:r w:rsidR="00C93A8D" w:rsidRPr="00CC035E">
      <w:rPr>
        <w:rStyle w:val="PageNumber"/>
        <w:sz w:val="16"/>
        <w:szCs w:val="16"/>
      </w:rPr>
      <w:fldChar w:fldCharType="begin"/>
    </w:r>
    <w:r w:rsidR="00C93A8D" w:rsidRPr="00CC035E">
      <w:rPr>
        <w:rStyle w:val="PageNumber"/>
        <w:sz w:val="16"/>
        <w:szCs w:val="16"/>
      </w:rPr>
      <w:instrText xml:space="preserve"> NUMPAGES </w:instrText>
    </w:r>
    <w:r w:rsidR="00C93A8D" w:rsidRPr="00CC035E">
      <w:rPr>
        <w:rStyle w:val="PageNumber"/>
        <w:sz w:val="16"/>
        <w:szCs w:val="16"/>
      </w:rPr>
      <w:fldChar w:fldCharType="separate"/>
    </w:r>
    <w:r w:rsidR="00536B94">
      <w:rPr>
        <w:rStyle w:val="PageNumber"/>
        <w:noProof/>
        <w:sz w:val="16"/>
        <w:szCs w:val="16"/>
      </w:rPr>
      <w:t>16</w:t>
    </w:r>
    <w:r w:rsidR="00C93A8D" w:rsidRPr="00CC035E">
      <w:rPr>
        <w:rStyle w:val="PageNumbe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FFD" w:rsidRDefault="00883FFD">
      <w:r>
        <w:separator/>
      </w:r>
    </w:p>
  </w:footnote>
  <w:footnote w:type="continuationSeparator" w:id="0">
    <w:p w:rsidR="00883FFD" w:rsidRDefault="00883F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B94" w:rsidRPr="000D7930" w:rsidRDefault="000E5418" w:rsidP="00536B94">
    <w:pPr>
      <w:ind w:left="3600"/>
      <w:jc w:val="both"/>
      <w:rPr>
        <w:rFonts w:ascii="Cambria" w:hAnsi="Cambria"/>
      </w:rPr>
    </w:pPr>
    <w:r w:rsidRPr="00CC035E">
      <w:rPr>
        <w:noProof/>
        <w:sz w:val="16"/>
        <w:szCs w:val="16"/>
        <w:lang w:val="en-IN" w:eastAsia="en-IN"/>
      </w:rPr>
      <w:drawing>
        <wp:anchor distT="0" distB="0" distL="114300" distR="114300" simplePos="0" relativeHeight="251657216" behindDoc="0" locked="0" layoutInCell="1" allowOverlap="1" wp14:anchorId="5EA59CA8" wp14:editId="1277C9E0">
          <wp:simplePos x="0" y="0"/>
          <wp:positionH relativeFrom="column">
            <wp:posOffset>-57150</wp:posOffset>
          </wp:positionH>
          <wp:positionV relativeFrom="paragraph">
            <wp:posOffset>-112395</wp:posOffset>
          </wp:positionV>
          <wp:extent cx="1184275" cy="431800"/>
          <wp:effectExtent l="0" t="0" r="0" b="6350"/>
          <wp:wrapNone/>
          <wp:docPr id="8" name="Picture 8" descr="central-b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entral-ba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4275"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712674">
      <w:rPr>
        <w:sz w:val="14"/>
        <w:szCs w:val="14"/>
      </w:rPr>
      <w:t xml:space="preserve">                                                                                                                                                              </w:t>
    </w:r>
    <w:r w:rsidR="00712674" w:rsidRPr="00125FE1">
      <w:rPr>
        <w:sz w:val="14"/>
        <w:szCs w:val="14"/>
      </w:rPr>
      <w:t xml:space="preserve"> </w:t>
    </w:r>
    <w:r w:rsidRPr="00CC035E">
      <w:rPr>
        <w:noProof/>
        <w:sz w:val="16"/>
        <w:szCs w:val="16"/>
        <w:lang w:val="en-IN" w:eastAsia="en-IN"/>
      </w:rPr>
      <w:drawing>
        <wp:anchor distT="0" distB="0" distL="114300" distR="114300" simplePos="0" relativeHeight="251658240" behindDoc="0" locked="0" layoutInCell="1" allowOverlap="1" wp14:anchorId="78412117" wp14:editId="759F770C">
          <wp:simplePos x="0" y="0"/>
          <wp:positionH relativeFrom="column">
            <wp:posOffset>-57150</wp:posOffset>
          </wp:positionH>
          <wp:positionV relativeFrom="paragraph">
            <wp:posOffset>-112395</wp:posOffset>
          </wp:positionV>
          <wp:extent cx="1184275" cy="431800"/>
          <wp:effectExtent l="0" t="0" r="0" b="6350"/>
          <wp:wrapNone/>
          <wp:docPr id="9" name="Picture 9" descr="central-b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entral-ba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4275"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536B94" w:rsidRPr="00536B94">
      <w:rPr>
        <w:sz w:val="14"/>
        <w:szCs w:val="14"/>
      </w:rPr>
      <w:t xml:space="preserve"> </w:t>
    </w:r>
    <w:r w:rsidR="00536B94">
      <w:rPr>
        <w:sz w:val="14"/>
        <w:szCs w:val="14"/>
      </w:rPr>
      <w:t>Request for Proposal</w:t>
    </w:r>
    <w:r w:rsidR="00536B94" w:rsidRPr="00051F3D">
      <w:rPr>
        <w:sz w:val="14"/>
        <w:szCs w:val="14"/>
      </w:rPr>
      <w:t xml:space="preserve"> for </w:t>
    </w:r>
    <w:r w:rsidR="00536B94" w:rsidRPr="003C2999">
      <w:rPr>
        <w:sz w:val="14"/>
        <w:szCs w:val="14"/>
      </w:rPr>
      <w:t>Supply, Installation, Integration and Commissioning of CISCO Video Conferencing Endpoint, IP Phone &amp; Video IP Phone with required licenses</w:t>
    </w:r>
  </w:p>
  <w:p w:rsidR="00813D43" w:rsidRPr="00CC035E" w:rsidRDefault="00813D43" w:rsidP="00536B94">
    <w:pPr>
      <w:pStyle w:val="Header"/>
      <w:tabs>
        <w:tab w:val="clear" w:pos="4153"/>
        <w:tab w:val="clear" w:pos="8306"/>
      </w:tabs>
      <w:ind w:left="5130" w:hanging="6570"/>
      <w:jc w:val="right"/>
      <w:rPr>
        <w:noProof/>
        <w:sz w:val="22"/>
        <w:szCs w:val="22"/>
      </w:rPr>
    </w:pPr>
  </w:p>
  <w:p w:rsidR="006B4ADB" w:rsidRPr="00CC035E" w:rsidRDefault="00B54F81" w:rsidP="00EA0083">
    <w:pPr>
      <w:pStyle w:val="Header"/>
      <w:pBdr>
        <w:bottom w:val="single" w:sz="4" w:space="1" w:color="auto"/>
      </w:pBdr>
      <w:tabs>
        <w:tab w:val="clear" w:pos="8306"/>
        <w:tab w:val="left" w:pos="7566"/>
        <w:tab w:val="right" w:pos="8640"/>
      </w:tabs>
      <w:spacing w:before="120"/>
      <w:jc w:val="center"/>
      <w:rPr>
        <w:i/>
        <w:iCs/>
        <w:sz w:val="22"/>
        <w:szCs w:val="22"/>
      </w:rPr>
    </w:pPr>
    <w:r>
      <w:rPr>
        <w:b/>
        <w:sz w:val="22"/>
        <w:szCs w:val="22"/>
      </w:rPr>
      <w:t>Annexure 7</w:t>
    </w:r>
    <w:r w:rsidR="005F0C66" w:rsidRPr="00CC035E">
      <w:rPr>
        <w:b/>
        <w:sz w:val="22"/>
        <w:szCs w:val="22"/>
      </w:rPr>
      <w:t xml:space="preserve"> – </w:t>
    </w:r>
    <w:r w:rsidR="001467E7">
      <w:rPr>
        <w:b/>
        <w:sz w:val="22"/>
        <w:szCs w:val="22"/>
      </w:rPr>
      <w:t>Integrity Pact</w:t>
    </w:r>
  </w:p>
  <w:p w:rsidR="00CD4C5D" w:rsidRPr="00E953C4" w:rsidRDefault="00CD4C5D" w:rsidP="006B4ADB">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50C6A"/>
    <w:multiLevelType w:val="hybridMultilevel"/>
    <w:tmpl w:val="F4AAC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7C1CBD"/>
    <w:multiLevelType w:val="hybridMultilevel"/>
    <w:tmpl w:val="3FCE4FF2"/>
    <w:lvl w:ilvl="0" w:tplc="CA98AE40">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9E05F69"/>
    <w:multiLevelType w:val="hybridMultilevel"/>
    <w:tmpl w:val="0CF8C62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nsid w:val="25E20644"/>
    <w:multiLevelType w:val="hybridMultilevel"/>
    <w:tmpl w:val="40543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3D165C"/>
    <w:multiLevelType w:val="multilevel"/>
    <w:tmpl w:val="54D6F768"/>
    <w:lvl w:ilvl="0">
      <w:start w:val="1"/>
      <w:numFmt w:val="decimal"/>
      <w:pStyle w:val="Heading1"/>
      <w:lvlText w:val="%1."/>
      <w:lvlJc w:val="left"/>
      <w:pPr>
        <w:ind w:left="432" w:hanging="432"/>
      </w:pPr>
    </w:lvl>
    <w:lvl w:ilvl="1">
      <w:start w:val="1"/>
      <w:numFmt w:val="decimal"/>
      <w:pStyle w:val="Heading2"/>
      <w:lvlText w:val="%1.%2"/>
      <w:lvlJc w:val="left"/>
      <w:pPr>
        <w:ind w:left="576" w:hanging="576"/>
      </w:pPr>
      <w:rPr>
        <w:sz w:val="24"/>
        <w:szCs w:val="24"/>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sz w:val="24"/>
        <w:szCs w:val="24"/>
      </w:rPr>
    </w:lvl>
    <w:lvl w:ilvl="4">
      <w:start w:val="1"/>
      <w:numFmt w:val="decimal"/>
      <w:pStyle w:val="Heading5"/>
      <w:lvlText w:val="%1.%2.%3.%4.%5"/>
      <w:lvlJc w:val="left"/>
      <w:pPr>
        <w:ind w:left="1008" w:hanging="1008"/>
      </w:pPr>
    </w:lvl>
    <w:lvl w:ilvl="5">
      <w:start w:val="1"/>
      <w:numFmt w:val="decimal"/>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4EA12E4C"/>
    <w:multiLevelType w:val="hybridMultilevel"/>
    <w:tmpl w:val="9F120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EF"/>
    <w:rsid w:val="00002661"/>
    <w:rsid w:val="00003BDA"/>
    <w:rsid w:val="000069DD"/>
    <w:rsid w:val="00013BC5"/>
    <w:rsid w:val="0005391C"/>
    <w:rsid w:val="0008422D"/>
    <w:rsid w:val="00094CA8"/>
    <w:rsid w:val="000A5035"/>
    <w:rsid w:val="000B2B1B"/>
    <w:rsid w:val="000E0CA9"/>
    <w:rsid w:val="000E5418"/>
    <w:rsid w:val="001013E3"/>
    <w:rsid w:val="00111E14"/>
    <w:rsid w:val="001212D1"/>
    <w:rsid w:val="00121A07"/>
    <w:rsid w:val="001222C0"/>
    <w:rsid w:val="00133669"/>
    <w:rsid w:val="001467E7"/>
    <w:rsid w:val="0015584B"/>
    <w:rsid w:val="0015716A"/>
    <w:rsid w:val="001640CE"/>
    <w:rsid w:val="001A5081"/>
    <w:rsid w:val="001D3093"/>
    <w:rsid w:val="001D5685"/>
    <w:rsid w:val="002073D0"/>
    <w:rsid w:val="002144F7"/>
    <w:rsid w:val="0026126A"/>
    <w:rsid w:val="00294554"/>
    <w:rsid w:val="002B0EEB"/>
    <w:rsid w:val="002B5F8E"/>
    <w:rsid w:val="002C59FC"/>
    <w:rsid w:val="002D0696"/>
    <w:rsid w:val="002D5ECB"/>
    <w:rsid w:val="00301F97"/>
    <w:rsid w:val="00334F86"/>
    <w:rsid w:val="00351803"/>
    <w:rsid w:val="0035685B"/>
    <w:rsid w:val="003B44CC"/>
    <w:rsid w:val="003B5409"/>
    <w:rsid w:val="003D1EFC"/>
    <w:rsid w:val="003F7538"/>
    <w:rsid w:val="00427E21"/>
    <w:rsid w:val="004303B0"/>
    <w:rsid w:val="00454C49"/>
    <w:rsid w:val="00475ACF"/>
    <w:rsid w:val="00497BEC"/>
    <w:rsid w:val="004A6B67"/>
    <w:rsid w:val="004C72E3"/>
    <w:rsid w:val="004D7A37"/>
    <w:rsid w:val="004E5828"/>
    <w:rsid w:val="004E58D3"/>
    <w:rsid w:val="004E645D"/>
    <w:rsid w:val="004F34BD"/>
    <w:rsid w:val="00527688"/>
    <w:rsid w:val="00531D1F"/>
    <w:rsid w:val="00536B94"/>
    <w:rsid w:val="005617C6"/>
    <w:rsid w:val="00573D80"/>
    <w:rsid w:val="0058506A"/>
    <w:rsid w:val="00585ED8"/>
    <w:rsid w:val="0059514F"/>
    <w:rsid w:val="005C157E"/>
    <w:rsid w:val="005C2D01"/>
    <w:rsid w:val="005C4D82"/>
    <w:rsid w:val="005D7B2E"/>
    <w:rsid w:val="005F0C66"/>
    <w:rsid w:val="00603FA6"/>
    <w:rsid w:val="00612419"/>
    <w:rsid w:val="006507C5"/>
    <w:rsid w:val="00671555"/>
    <w:rsid w:val="0068147E"/>
    <w:rsid w:val="006A204C"/>
    <w:rsid w:val="006B2200"/>
    <w:rsid w:val="006B4ADB"/>
    <w:rsid w:val="006C29AD"/>
    <w:rsid w:val="006E5DB1"/>
    <w:rsid w:val="007003FF"/>
    <w:rsid w:val="00712674"/>
    <w:rsid w:val="00720785"/>
    <w:rsid w:val="0075159E"/>
    <w:rsid w:val="0075210F"/>
    <w:rsid w:val="00766AEF"/>
    <w:rsid w:val="007728D8"/>
    <w:rsid w:val="00796E00"/>
    <w:rsid w:val="007F296D"/>
    <w:rsid w:val="007F3694"/>
    <w:rsid w:val="00813D43"/>
    <w:rsid w:val="00814801"/>
    <w:rsid w:val="0081570D"/>
    <w:rsid w:val="00833499"/>
    <w:rsid w:val="0086225F"/>
    <w:rsid w:val="008631A8"/>
    <w:rsid w:val="00865F1F"/>
    <w:rsid w:val="00870DB6"/>
    <w:rsid w:val="008719EC"/>
    <w:rsid w:val="00872BC6"/>
    <w:rsid w:val="00883FFD"/>
    <w:rsid w:val="00886761"/>
    <w:rsid w:val="00893C36"/>
    <w:rsid w:val="008A6A0A"/>
    <w:rsid w:val="008E73ED"/>
    <w:rsid w:val="00910745"/>
    <w:rsid w:val="00920346"/>
    <w:rsid w:val="00930A01"/>
    <w:rsid w:val="00931F92"/>
    <w:rsid w:val="00932DA3"/>
    <w:rsid w:val="00933193"/>
    <w:rsid w:val="00956C35"/>
    <w:rsid w:val="00972CCF"/>
    <w:rsid w:val="00985972"/>
    <w:rsid w:val="00992FB7"/>
    <w:rsid w:val="00996333"/>
    <w:rsid w:val="009E789C"/>
    <w:rsid w:val="00A07CCD"/>
    <w:rsid w:val="00A21345"/>
    <w:rsid w:val="00A97D13"/>
    <w:rsid w:val="00A97E57"/>
    <w:rsid w:val="00AA39EE"/>
    <w:rsid w:val="00AA3AF7"/>
    <w:rsid w:val="00AA6573"/>
    <w:rsid w:val="00AF2955"/>
    <w:rsid w:val="00B33222"/>
    <w:rsid w:val="00B34723"/>
    <w:rsid w:val="00B402D5"/>
    <w:rsid w:val="00B54F81"/>
    <w:rsid w:val="00B579CC"/>
    <w:rsid w:val="00B60D60"/>
    <w:rsid w:val="00B830CD"/>
    <w:rsid w:val="00B9104D"/>
    <w:rsid w:val="00B9757B"/>
    <w:rsid w:val="00BA42AC"/>
    <w:rsid w:val="00BB71B6"/>
    <w:rsid w:val="00C01D8F"/>
    <w:rsid w:val="00C24188"/>
    <w:rsid w:val="00C24967"/>
    <w:rsid w:val="00C473B9"/>
    <w:rsid w:val="00C80C4A"/>
    <w:rsid w:val="00C93A8D"/>
    <w:rsid w:val="00CB5012"/>
    <w:rsid w:val="00CC035E"/>
    <w:rsid w:val="00CD4C5D"/>
    <w:rsid w:val="00CD6262"/>
    <w:rsid w:val="00CE4926"/>
    <w:rsid w:val="00CE5B0E"/>
    <w:rsid w:val="00D45258"/>
    <w:rsid w:val="00D50BE4"/>
    <w:rsid w:val="00DA27D5"/>
    <w:rsid w:val="00DB0094"/>
    <w:rsid w:val="00DF531B"/>
    <w:rsid w:val="00E06D16"/>
    <w:rsid w:val="00E11173"/>
    <w:rsid w:val="00E23B75"/>
    <w:rsid w:val="00E25B70"/>
    <w:rsid w:val="00E507DA"/>
    <w:rsid w:val="00E6290B"/>
    <w:rsid w:val="00E65A69"/>
    <w:rsid w:val="00E72247"/>
    <w:rsid w:val="00E73864"/>
    <w:rsid w:val="00E953C4"/>
    <w:rsid w:val="00E95CCE"/>
    <w:rsid w:val="00EA0083"/>
    <w:rsid w:val="00EC06EF"/>
    <w:rsid w:val="00EC1421"/>
    <w:rsid w:val="00EC2640"/>
    <w:rsid w:val="00EF2CA6"/>
    <w:rsid w:val="00EF47EA"/>
    <w:rsid w:val="00F25C6A"/>
    <w:rsid w:val="00F32580"/>
    <w:rsid w:val="00F5308D"/>
    <w:rsid w:val="00F774DA"/>
    <w:rsid w:val="00F776E1"/>
    <w:rsid w:val="00F81495"/>
    <w:rsid w:val="00F84FB5"/>
    <w:rsid w:val="00FB0E6A"/>
    <w:rsid w:val="00FC7F8A"/>
    <w:rsid w:val="00FE359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1">
    <w:lsdException w:name="Normal"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autoRedefine/>
    <w:uiPriority w:val="1"/>
    <w:qFormat/>
    <w:rsid w:val="00E73864"/>
    <w:pPr>
      <w:keepNext/>
      <w:keepLines/>
      <w:pageBreakBefore/>
      <w:numPr>
        <w:numId w:val="1"/>
      </w:numPr>
      <w:spacing w:before="100" w:beforeAutospacing="1" w:after="100" w:afterAutospacing="1"/>
      <w:jc w:val="both"/>
      <w:outlineLvl w:val="0"/>
    </w:pPr>
    <w:rPr>
      <w:rFonts w:ascii="Calibri Light" w:eastAsia="Arial" w:hAnsi="Calibri Light"/>
      <w:b/>
      <w:color w:val="2E74B5"/>
      <w:sz w:val="32"/>
      <w:szCs w:val="32"/>
    </w:rPr>
  </w:style>
  <w:style w:type="paragraph" w:styleId="Heading2">
    <w:name w:val="heading 2"/>
    <w:basedOn w:val="Normal"/>
    <w:next w:val="Normal"/>
    <w:link w:val="Heading2Char"/>
    <w:autoRedefine/>
    <w:uiPriority w:val="1"/>
    <w:unhideWhenUsed/>
    <w:qFormat/>
    <w:rsid w:val="00E73864"/>
    <w:pPr>
      <w:keepNext/>
      <w:keepLines/>
      <w:numPr>
        <w:ilvl w:val="1"/>
        <w:numId w:val="1"/>
      </w:numPr>
      <w:spacing w:before="100" w:beforeAutospacing="1" w:after="100" w:afterAutospacing="1"/>
      <w:jc w:val="both"/>
      <w:outlineLvl w:val="1"/>
    </w:pPr>
    <w:rPr>
      <w:rFonts w:ascii="Calibri" w:hAnsi="Calibri" w:cs="Calibri"/>
      <w:color w:val="2E74B5"/>
    </w:rPr>
  </w:style>
  <w:style w:type="paragraph" w:styleId="Heading3">
    <w:name w:val="heading 3"/>
    <w:basedOn w:val="Normal"/>
    <w:next w:val="Normal"/>
    <w:link w:val="Heading3Char"/>
    <w:autoRedefine/>
    <w:uiPriority w:val="1"/>
    <w:qFormat/>
    <w:rsid w:val="00E73864"/>
    <w:pPr>
      <w:widowControl w:val="0"/>
      <w:numPr>
        <w:ilvl w:val="2"/>
        <w:numId w:val="1"/>
      </w:numPr>
      <w:spacing w:before="240" w:line="360" w:lineRule="auto"/>
      <w:jc w:val="both"/>
      <w:outlineLvl w:val="2"/>
    </w:pPr>
    <w:rPr>
      <w:rFonts w:eastAsia="Arial"/>
      <w:bCs/>
      <w:color w:val="2E74B5"/>
    </w:rPr>
  </w:style>
  <w:style w:type="paragraph" w:styleId="Heading4">
    <w:name w:val="heading 4"/>
    <w:basedOn w:val="Normal"/>
    <w:next w:val="Normal"/>
    <w:link w:val="Heading4Char"/>
    <w:uiPriority w:val="1"/>
    <w:unhideWhenUsed/>
    <w:qFormat/>
    <w:rsid w:val="00E73864"/>
    <w:pPr>
      <w:keepNext/>
      <w:keepLines/>
      <w:numPr>
        <w:ilvl w:val="3"/>
        <w:numId w:val="1"/>
      </w:numPr>
      <w:spacing w:before="40" w:line="259" w:lineRule="auto"/>
      <w:outlineLvl w:val="3"/>
    </w:pPr>
    <w:rPr>
      <w:rFonts w:ascii="Calibri Light" w:hAnsi="Calibri Light"/>
      <w:i/>
      <w:iCs/>
      <w:color w:val="2E74B5"/>
      <w:sz w:val="22"/>
      <w:szCs w:val="22"/>
    </w:rPr>
  </w:style>
  <w:style w:type="paragraph" w:styleId="Heading5">
    <w:name w:val="heading 5"/>
    <w:basedOn w:val="Normal"/>
    <w:next w:val="Normal"/>
    <w:link w:val="Heading5Char"/>
    <w:uiPriority w:val="1"/>
    <w:unhideWhenUsed/>
    <w:qFormat/>
    <w:rsid w:val="00E73864"/>
    <w:pPr>
      <w:keepNext/>
      <w:keepLines/>
      <w:numPr>
        <w:ilvl w:val="4"/>
        <w:numId w:val="1"/>
      </w:numPr>
      <w:spacing w:before="40" w:line="259" w:lineRule="auto"/>
      <w:outlineLvl w:val="4"/>
    </w:pPr>
    <w:rPr>
      <w:rFonts w:ascii="Calibri Light" w:hAnsi="Calibri Light"/>
      <w:color w:val="2E74B5"/>
      <w:sz w:val="22"/>
      <w:szCs w:val="22"/>
    </w:rPr>
  </w:style>
  <w:style w:type="paragraph" w:styleId="Heading7">
    <w:name w:val="heading 7"/>
    <w:basedOn w:val="Normal"/>
    <w:next w:val="Normal"/>
    <w:link w:val="Heading7Char"/>
    <w:uiPriority w:val="9"/>
    <w:semiHidden/>
    <w:unhideWhenUsed/>
    <w:qFormat/>
    <w:rsid w:val="00E73864"/>
    <w:pPr>
      <w:keepNext/>
      <w:keepLines/>
      <w:numPr>
        <w:ilvl w:val="6"/>
        <w:numId w:val="1"/>
      </w:numPr>
      <w:spacing w:before="40" w:line="259" w:lineRule="auto"/>
      <w:outlineLvl w:val="6"/>
    </w:pPr>
    <w:rPr>
      <w:rFonts w:ascii="Calibri Light" w:hAnsi="Calibri Light"/>
      <w:i/>
      <w:iCs/>
      <w:color w:val="1F4D78"/>
      <w:sz w:val="22"/>
      <w:szCs w:val="22"/>
    </w:rPr>
  </w:style>
  <w:style w:type="paragraph" w:styleId="Heading8">
    <w:name w:val="heading 8"/>
    <w:basedOn w:val="Normal"/>
    <w:next w:val="Normal"/>
    <w:link w:val="Heading8Char"/>
    <w:uiPriority w:val="9"/>
    <w:semiHidden/>
    <w:unhideWhenUsed/>
    <w:qFormat/>
    <w:rsid w:val="00E73864"/>
    <w:pPr>
      <w:keepNext/>
      <w:keepLines/>
      <w:numPr>
        <w:ilvl w:val="7"/>
        <w:numId w:val="1"/>
      </w:numPr>
      <w:spacing w:before="40" w:line="259" w:lineRule="auto"/>
      <w:outlineLvl w:val="7"/>
    </w:pPr>
    <w:rPr>
      <w:rFonts w:ascii="Calibri Light" w:hAnsi="Calibri Light"/>
      <w:color w:val="272727"/>
      <w:sz w:val="21"/>
      <w:szCs w:val="21"/>
    </w:rPr>
  </w:style>
  <w:style w:type="paragraph" w:styleId="Heading9">
    <w:name w:val="heading 9"/>
    <w:basedOn w:val="Normal"/>
    <w:next w:val="Normal"/>
    <w:link w:val="Heading9Char"/>
    <w:uiPriority w:val="9"/>
    <w:semiHidden/>
    <w:unhideWhenUsed/>
    <w:qFormat/>
    <w:rsid w:val="00E73864"/>
    <w:pPr>
      <w:keepNext/>
      <w:keepLines/>
      <w:numPr>
        <w:ilvl w:val="8"/>
        <w:numId w:val="1"/>
      </w:numPr>
      <w:spacing w:before="40" w:line="259" w:lineRule="auto"/>
      <w:outlineLvl w:val="8"/>
    </w:pPr>
    <w:rPr>
      <w:rFonts w:ascii="Calibri Light" w:hAnsi="Calibri Light"/>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rFonts w:ascii="Arial" w:hAnsi="Arial" w:cs="Arial"/>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sid w:val="004F34BD"/>
    <w:rPr>
      <w:rFonts w:ascii="Tahoma" w:hAnsi="Tahoma" w:cs="Tahoma"/>
      <w:sz w:val="16"/>
      <w:szCs w:val="16"/>
    </w:rPr>
  </w:style>
  <w:style w:type="character" w:customStyle="1" w:styleId="Heading1Char">
    <w:name w:val="Heading 1 Char"/>
    <w:link w:val="Heading1"/>
    <w:uiPriority w:val="1"/>
    <w:rsid w:val="00E73864"/>
    <w:rPr>
      <w:rFonts w:ascii="Calibri Light" w:eastAsia="Arial" w:hAnsi="Calibri Light"/>
      <w:b/>
      <w:color w:val="2E74B5"/>
      <w:sz w:val="32"/>
      <w:szCs w:val="32"/>
      <w:lang w:val="en-US" w:eastAsia="en-US"/>
    </w:rPr>
  </w:style>
  <w:style w:type="character" w:customStyle="1" w:styleId="Heading2Char">
    <w:name w:val="Heading 2 Char"/>
    <w:link w:val="Heading2"/>
    <w:uiPriority w:val="1"/>
    <w:rsid w:val="00E73864"/>
    <w:rPr>
      <w:rFonts w:ascii="Calibri" w:hAnsi="Calibri" w:cs="Calibri"/>
      <w:color w:val="2E74B5"/>
      <w:sz w:val="24"/>
      <w:szCs w:val="24"/>
      <w:lang w:val="en-US" w:eastAsia="en-US"/>
    </w:rPr>
  </w:style>
  <w:style w:type="character" w:customStyle="1" w:styleId="Heading3Char">
    <w:name w:val="Heading 3 Char"/>
    <w:link w:val="Heading3"/>
    <w:uiPriority w:val="1"/>
    <w:rsid w:val="00E73864"/>
    <w:rPr>
      <w:rFonts w:eastAsia="Arial"/>
      <w:bCs/>
      <w:color w:val="2E74B5"/>
      <w:sz w:val="24"/>
      <w:szCs w:val="24"/>
      <w:lang w:val="en-US" w:eastAsia="en-US"/>
    </w:rPr>
  </w:style>
  <w:style w:type="character" w:customStyle="1" w:styleId="Heading4Char">
    <w:name w:val="Heading 4 Char"/>
    <w:link w:val="Heading4"/>
    <w:uiPriority w:val="1"/>
    <w:rsid w:val="00E73864"/>
    <w:rPr>
      <w:rFonts w:ascii="Calibri Light" w:hAnsi="Calibri Light"/>
      <w:i/>
      <w:iCs/>
      <w:color w:val="2E74B5"/>
      <w:sz w:val="22"/>
      <w:szCs w:val="22"/>
      <w:lang w:val="en-US" w:eastAsia="en-US"/>
    </w:rPr>
  </w:style>
  <w:style w:type="character" w:customStyle="1" w:styleId="Heading5Char">
    <w:name w:val="Heading 5 Char"/>
    <w:link w:val="Heading5"/>
    <w:uiPriority w:val="1"/>
    <w:rsid w:val="00E73864"/>
    <w:rPr>
      <w:rFonts w:ascii="Calibri Light" w:hAnsi="Calibri Light"/>
      <w:color w:val="2E74B5"/>
      <w:sz w:val="22"/>
      <w:szCs w:val="22"/>
      <w:lang w:val="en-US" w:eastAsia="en-US"/>
    </w:rPr>
  </w:style>
  <w:style w:type="character" w:customStyle="1" w:styleId="Heading7Char">
    <w:name w:val="Heading 7 Char"/>
    <w:link w:val="Heading7"/>
    <w:uiPriority w:val="9"/>
    <w:semiHidden/>
    <w:rsid w:val="00E73864"/>
    <w:rPr>
      <w:rFonts w:ascii="Calibri Light" w:hAnsi="Calibri Light"/>
      <w:i/>
      <w:iCs/>
      <w:color w:val="1F4D78"/>
      <w:sz w:val="22"/>
      <w:szCs w:val="22"/>
      <w:lang w:val="en-US" w:eastAsia="en-US"/>
    </w:rPr>
  </w:style>
  <w:style w:type="character" w:customStyle="1" w:styleId="Heading8Char">
    <w:name w:val="Heading 8 Char"/>
    <w:link w:val="Heading8"/>
    <w:uiPriority w:val="9"/>
    <w:semiHidden/>
    <w:rsid w:val="00E73864"/>
    <w:rPr>
      <w:rFonts w:ascii="Calibri Light" w:hAnsi="Calibri Light"/>
      <w:color w:val="272727"/>
      <w:sz w:val="21"/>
      <w:szCs w:val="21"/>
      <w:lang w:val="en-US" w:eastAsia="en-US"/>
    </w:rPr>
  </w:style>
  <w:style w:type="character" w:customStyle="1" w:styleId="Heading9Char">
    <w:name w:val="Heading 9 Char"/>
    <w:link w:val="Heading9"/>
    <w:uiPriority w:val="9"/>
    <w:semiHidden/>
    <w:rsid w:val="00E73864"/>
    <w:rPr>
      <w:rFonts w:ascii="Calibri Light" w:hAnsi="Calibri Light"/>
      <w:i/>
      <w:iCs/>
      <w:color w:val="272727"/>
      <w:sz w:val="21"/>
      <w:szCs w:val="21"/>
      <w:lang w:val="en-US" w:eastAsia="en-US"/>
    </w:rPr>
  </w:style>
  <w:style w:type="table" w:styleId="TableGrid">
    <w:name w:val="Table Grid"/>
    <w:basedOn w:val="TableNormal"/>
    <w:uiPriority w:val="39"/>
    <w:rsid w:val="00E73864"/>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Citation List,TOC style,lp1,Equipment,Numbered Indented Text,Figure_name,List Paragraph1,List Paragraph Char Char,b1,Number_1,new,SGLText List Paragraph,List Paragraph11,List Paragraph2,Colorful List - Accent 11,Normal Sentence,ListPar1"/>
    <w:basedOn w:val="Normal"/>
    <w:link w:val="ListParagraphChar"/>
    <w:uiPriority w:val="34"/>
    <w:qFormat/>
    <w:rsid w:val="00E73864"/>
    <w:pP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Citation List Char,TOC style Char,lp1 Char,Equipment Char,Numbered Indented Text Char,Figure_name Char,List Paragraph1 Char,List Paragraph Char Char Char,b1 Char,Number_1 Char,new Char,SGLText List Paragraph Char,List Paragraph2 Char"/>
    <w:link w:val="ListParagraph"/>
    <w:uiPriority w:val="34"/>
    <w:qFormat/>
    <w:rsid w:val="00E73864"/>
    <w:rPr>
      <w:rFonts w:ascii="Calibri" w:eastAsia="Calibri" w:hAnsi="Calibri"/>
      <w:sz w:val="22"/>
      <w:szCs w:val="22"/>
      <w:lang w:val="en-US" w:eastAsia="en-US"/>
    </w:rPr>
  </w:style>
  <w:style w:type="character" w:styleId="IntenseReference">
    <w:name w:val="Intense Reference"/>
    <w:uiPriority w:val="32"/>
    <w:qFormat/>
    <w:rsid w:val="00E73864"/>
    <w:rPr>
      <w:rFonts w:ascii="Calibri Light" w:hAnsi="Calibri Light"/>
      <w:b/>
      <w:bCs/>
      <w:smallCaps/>
      <w:color w:val="5B9BD5"/>
      <w:spacing w:val="5"/>
      <w:sz w:val="24"/>
    </w:rPr>
  </w:style>
  <w:style w:type="character" w:customStyle="1" w:styleId="HeaderChar">
    <w:name w:val="Header Char"/>
    <w:link w:val="Header"/>
    <w:rsid w:val="00F84FB5"/>
    <w:rPr>
      <w:sz w:val="24"/>
      <w:szCs w:val="24"/>
      <w:lang w:val="en-US" w:eastAsia="en-US"/>
    </w:rPr>
  </w:style>
  <w:style w:type="paragraph" w:customStyle="1" w:styleId="Default">
    <w:name w:val="Default"/>
    <w:rsid w:val="001467E7"/>
    <w:pPr>
      <w:autoSpaceDE w:val="0"/>
      <w:autoSpaceDN w:val="0"/>
      <w:adjustRightInd w:val="0"/>
    </w:pPr>
    <w:rPr>
      <w:rFonts w:ascii="Bookman Old Style" w:eastAsia="Calibri" w:hAnsi="Bookman Old Style" w:cs="Bookman Old Style"/>
      <w:color w:val="000000"/>
      <w:sz w:val="24"/>
      <w:szCs w:val="24"/>
      <w:lang w:eastAsia="en-US"/>
    </w:rPr>
  </w:style>
  <w:style w:type="character" w:styleId="CommentReference">
    <w:name w:val="annotation reference"/>
    <w:rsid w:val="004E5828"/>
    <w:rPr>
      <w:sz w:val="16"/>
      <w:szCs w:val="16"/>
    </w:rPr>
  </w:style>
  <w:style w:type="paragraph" w:styleId="CommentText">
    <w:name w:val="annotation text"/>
    <w:basedOn w:val="Normal"/>
    <w:link w:val="CommentTextChar"/>
    <w:rsid w:val="004E5828"/>
    <w:rPr>
      <w:sz w:val="20"/>
      <w:szCs w:val="20"/>
    </w:rPr>
  </w:style>
  <w:style w:type="character" w:customStyle="1" w:styleId="CommentTextChar">
    <w:name w:val="Comment Text Char"/>
    <w:link w:val="CommentText"/>
    <w:rsid w:val="004E5828"/>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354955">
      <w:bodyDiv w:val="1"/>
      <w:marLeft w:val="0"/>
      <w:marRight w:val="0"/>
      <w:marTop w:val="0"/>
      <w:marBottom w:val="0"/>
      <w:divBdr>
        <w:top w:val="none" w:sz="0" w:space="0" w:color="auto"/>
        <w:left w:val="none" w:sz="0" w:space="0" w:color="auto"/>
        <w:bottom w:val="none" w:sz="0" w:space="0" w:color="auto"/>
        <w:right w:val="none" w:sz="0" w:space="0" w:color="auto"/>
      </w:divBdr>
    </w:div>
    <w:div w:id="205634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5433</Words>
  <Characters>30973</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2024-01-09T08:22:00Z</dcterms:created>
  <dcterms:modified xsi:type="dcterms:W3CDTF">2024-07-04T12:12:00Z</dcterms:modified>
</cp:coreProperties>
</file>